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D1" w:rsidRDefault="0021728A" w:rsidP="009361D1">
      <w:pPr>
        <w:pBdr>
          <w:bottom w:val="single" w:sz="12" w:space="2" w:color="auto"/>
        </w:pBdr>
        <w:tabs>
          <w:tab w:val="left" w:pos="1418"/>
          <w:tab w:val="left" w:pos="7938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12.6</w:t>
      </w:r>
      <w:r>
        <w:rPr>
          <w:rFonts w:ascii="Courier" w:hAnsi="Courier"/>
          <w:b/>
        </w:rPr>
        <w:tab/>
        <w:t>Zum Gebrauch der Tempora;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25 ff.)</w:t>
      </w:r>
    </w:p>
    <w:p w:rsidR="009361D1" w:rsidRDefault="0021728A" w:rsidP="009361D1">
      <w:pPr>
        <w:pBdr>
          <w:bottom w:val="single" w:sz="12" w:space="2" w:color="auto"/>
        </w:pBdr>
        <w:tabs>
          <w:tab w:val="left" w:pos="1418"/>
          <w:tab w:val="left" w:pos="8364"/>
        </w:tabs>
        <w:spacing w:before="60"/>
        <w:rPr>
          <w:rFonts w:ascii="Courier" w:hAnsi="Courier"/>
          <w:b/>
        </w:rPr>
      </w:pPr>
      <w:r>
        <w:rPr>
          <w:rFonts w:ascii="Courier" w:hAnsi="Courier"/>
          <w:b/>
        </w:rPr>
        <w:tab/>
        <w:t xml:space="preserve">Zeitstufen und Zeitverhältnisse </w:t>
      </w:r>
    </w:p>
    <w:p w:rsidR="009361D1" w:rsidRPr="009361D1" w:rsidRDefault="0021728A">
      <w:pPr>
        <w:rPr>
          <w:rFonts w:ascii="Courier" w:hAnsi="Courier"/>
          <w:sz w:val="18"/>
        </w:rPr>
      </w:pPr>
    </w:p>
    <w:p w:rsidR="009361D1" w:rsidRDefault="0021728A">
      <w:pPr>
        <w:rPr>
          <w:rFonts w:ascii="Courier" w:hAnsi="Courier"/>
        </w:rPr>
      </w:pPr>
      <w:r>
        <w:rPr>
          <w:rFonts w:ascii="Courier" w:hAnsi="Courier"/>
        </w:rPr>
        <w:t xml:space="preserve">Das Latein hat – viel deutlicher als das heutige Deutsche – </w:t>
      </w:r>
      <w:r>
        <w:rPr>
          <w:rFonts w:ascii="Courier" w:hAnsi="Courier"/>
          <w:b/>
        </w:rPr>
        <w:t>zwei Zeitanschauungen</w:t>
      </w:r>
      <w:r>
        <w:rPr>
          <w:rFonts w:ascii="Courier" w:hAnsi="Courier"/>
        </w:rPr>
        <w:t>:</w:t>
      </w:r>
    </w:p>
    <w:p w:rsidR="009361D1" w:rsidRPr="009361D1" w:rsidRDefault="0021728A">
      <w:pPr>
        <w:rPr>
          <w:rFonts w:ascii="Courier" w:hAnsi="Courier"/>
          <w:sz w:val="18"/>
        </w:rPr>
      </w:pPr>
    </w:p>
    <w:p w:rsidR="009361D1" w:rsidRDefault="0021728A" w:rsidP="009361D1">
      <w:pPr>
        <w:ind w:left="420" w:right="-198" w:hanging="420"/>
        <w:rPr>
          <w:rFonts w:ascii="Courier" w:hAnsi="Courier"/>
        </w:rPr>
      </w:pPr>
      <w:r>
        <w:rPr>
          <w:rFonts w:ascii="Courier" w:hAnsi="Courier"/>
        </w:rPr>
        <w:t>1.</w:t>
      </w:r>
      <w:r>
        <w:rPr>
          <w:rFonts w:ascii="Courier" w:hAnsi="Courier"/>
        </w:rPr>
        <w:tab/>
        <w:t xml:space="preserve">Die Zeit wird als </w:t>
      </w:r>
      <w:r>
        <w:rPr>
          <w:rFonts w:ascii="Courier" w:hAnsi="Courier"/>
          <w:b/>
        </w:rPr>
        <w:t>absolut</w:t>
      </w:r>
      <w:r>
        <w:rPr>
          <w:rFonts w:ascii="Courier" w:hAnsi="Courier"/>
        </w:rPr>
        <w:t xml:space="preserve"> (= selbständig) betrachtet:</w:t>
      </w:r>
      <w:r>
        <w:rPr>
          <w:rFonts w:ascii="Courier" w:hAnsi="Courier"/>
        </w:rPr>
        <w:br/>
        <w:t>D.h.: Die Zeit eines Satzes wird</w:t>
      </w:r>
      <w:r>
        <w:rPr>
          <w:rFonts w:ascii="Courier" w:hAnsi="Courier"/>
        </w:rPr>
        <w:t xml:space="preserve"> nicht auf die Zeit eines anderen Satzes bezogen, sondern wird vom Sprechenden/Schreibenden frei gesetzt:</w:t>
      </w:r>
    </w:p>
    <w:p w:rsidR="009361D1" w:rsidRDefault="0021728A" w:rsidP="009361D1">
      <w:pPr>
        <w:tabs>
          <w:tab w:val="left" w:pos="4253"/>
        </w:tabs>
        <w:spacing w:line="360" w:lineRule="atLeast"/>
        <w:ind w:left="420" w:hanging="42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b/>
        </w:rPr>
        <w:tab/>
        <w:t>- Zukunft</w:t>
      </w:r>
      <w:r>
        <w:rPr>
          <w:rFonts w:ascii="Courier" w:hAnsi="Courier"/>
          <w:b/>
        </w:rPr>
        <w:br/>
        <w:t>Zeitstufen</w:t>
      </w:r>
      <w:r>
        <w:rPr>
          <w:rFonts w:ascii="Courier" w:hAnsi="Courier"/>
        </w:rPr>
        <w:t xml:space="preserve"> (s. § 12)</w:t>
      </w:r>
      <w:r>
        <w:rPr>
          <w:rFonts w:ascii="Courier" w:hAnsi="Courier"/>
          <w:b/>
        </w:rPr>
        <w:t>:</w:t>
      </w:r>
      <w:r>
        <w:rPr>
          <w:rFonts w:ascii="Courier" w:hAnsi="Courier"/>
          <w:b/>
        </w:rPr>
        <w:tab/>
        <w:t>- Gegenwart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- Vergangenheit</w:t>
      </w:r>
    </w:p>
    <w:p w:rsidR="009361D1" w:rsidRPr="009361D1" w:rsidRDefault="0021728A">
      <w:pPr>
        <w:rPr>
          <w:rFonts w:ascii="Courier" w:hAnsi="Courier"/>
          <w:sz w:val="18"/>
        </w:rPr>
      </w:pPr>
    </w:p>
    <w:p w:rsidR="009361D1" w:rsidRDefault="0021728A">
      <w:pPr>
        <w:ind w:left="420" w:hanging="420"/>
        <w:rPr>
          <w:rFonts w:ascii="Courier" w:hAnsi="Courier"/>
        </w:rPr>
      </w:pPr>
      <w:r>
        <w:rPr>
          <w:rFonts w:ascii="Courier" w:hAnsi="Courier"/>
        </w:rPr>
        <w:t>2.</w:t>
      </w:r>
      <w:r>
        <w:rPr>
          <w:rFonts w:ascii="Courier" w:hAnsi="Courier"/>
        </w:rPr>
        <w:tab/>
        <w:t xml:space="preserve">Die Zeit wird als </w:t>
      </w:r>
      <w:r>
        <w:rPr>
          <w:rFonts w:ascii="Courier" w:hAnsi="Courier"/>
          <w:b/>
        </w:rPr>
        <w:t>relativ</w:t>
      </w:r>
      <w:r>
        <w:rPr>
          <w:rFonts w:ascii="Courier" w:hAnsi="Courier"/>
        </w:rPr>
        <w:t xml:space="preserve"> (= abhängig, bezogen) betrachtet:</w:t>
      </w:r>
      <w:r>
        <w:rPr>
          <w:rFonts w:ascii="Courier" w:hAnsi="Courier"/>
        </w:rPr>
        <w:br/>
        <w:t>D.h.: Die Zeit eines Sa</w:t>
      </w:r>
      <w:r>
        <w:rPr>
          <w:rFonts w:ascii="Courier" w:hAnsi="Courier"/>
        </w:rPr>
        <w:t>tzes, meist eines Nebensatzes, wird auf die Zeit eines anderen Satzes, meist des übergeordneten Satzes</w:t>
      </w:r>
      <w:r w:rsidRPr="009361D1">
        <w:rPr>
          <w:rStyle w:val="Funotenzeichen"/>
        </w:rPr>
        <w:footnoteReference w:id="-1"/>
      </w:r>
      <w:r>
        <w:rPr>
          <w:rFonts w:ascii="Courier" w:hAnsi="Courier"/>
        </w:rPr>
        <w:t>, bezogen:</w:t>
      </w:r>
    </w:p>
    <w:p w:rsidR="009361D1" w:rsidRDefault="0021728A" w:rsidP="009361D1">
      <w:pPr>
        <w:tabs>
          <w:tab w:val="left" w:pos="4253"/>
        </w:tabs>
        <w:spacing w:line="360" w:lineRule="atLeast"/>
        <w:ind w:left="420" w:hanging="42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b/>
        </w:rPr>
        <w:tab/>
        <w:t>- Nachzeitigkeit</w:t>
      </w:r>
      <w:r>
        <w:rPr>
          <w:rFonts w:ascii="Courier" w:hAnsi="Courier"/>
          <w:b/>
        </w:rPr>
        <w:br/>
        <w:t>Zeitverhältnisse:</w:t>
      </w:r>
      <w:r>
        <w:rPr>
          <w:rFonts w:ascii="Courier" w:hAnsi="Courier"/>
          <w:b/>
        </w:rPr>
        <w:tab/>
        <w:t>- Gleichzeitigkeit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- Vorzeitigkeit</w:t>
      </w:r>
    </w:p>
    <w:p w:rsidR="009361D1" w:rsidRPr="009361D1" w:rsidRDefault="0021728A">
      <w:pPr>
        <w:rPr>
          <w:rFonts w:ascii="Courier" w:hAnsi="Courier"/>
          <w:sz w:val="18"/>
        </w:rPr>
      </w:pPr>
    </w:p>
    <w:p w:rsidR="009361D1" w:rsidRDefault="0021728A" w:rsidP="009361D1">
      <w:pPr>
        <w:ind w:right="-198"/>
        <w:rPr>
          <w:rFonts w:ascii="Courier" w:hAnsi="Courier"/>
        </w:rPr>
      </w:pPr>
      <w:r>
        <w:rPr>
          <w:rFonts w:ascii="Courier" w:hAnsi="Courier"/>
        </w:rPr>
        <w:t>In der folgenden Zusammenstellung werden die Zeitstufen und Zeitver</w:t>
      </w:r>
      <w:r>
        <w:rPr>
          <w:rFonts w:ascii="Courier" w:hAnsi="Courier"/>
        </w:rPr>
        <w:softHyphen/>
      </w:r>
      <w:r>
        <w:rPr>
          <w:rFonts w:ascii="Courier" w:hAnsi="Courier"/>
        </w:rPr>
        <w:t>hältnisse miteinander verbunden, und es werden die Tempora genannt, mit denen die Zeitstufen/Zeitverhältnisse ausgedrückt werden:</w:t>
      </w:r>
    </w:p>
    <w:p w:rsidR="009361D1" w:rsidRPr="009361D1" w:rsidRDefault="0021728A">
      <w:pPr>
        <w:rPr>
          <w:rFonts w:ascii="Courier" w:hAnsi="Courier"/>
          <w:sz w:val="18"/>
        </w:rPr>
      </w:pPr>
    </w:p>
    <w:p w:rsidR="009361D1" w:rsidRPr="009361D1" w:rsidRDefault="0021728A">
      <w:pPr>
        <w:rPr>
          <w:sz w:val="20"/>
        </w:rPr>
      </w:pPr>
      <w:r>
        <w:rPr>
          <w:noProof/>
        </w:rPr>
        <w:drawing>
          <wp:inline distT="0" distB="0" distL="0" distR="0">
            <wp:extent cx="6062345" cy="3149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 l="-1154" t="-201" r="-1154" b="-201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 l="-1154" t="-201" r="-1154" b="-201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062345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D1" w:rsidRDefault="0021728A">
      <w:pPr>
        <w:rPr>
          <w:rFonts w:ascii="Courier" w:hAnsi="Courier"/>
        </w:rPr>
      </w:pPr>
      <w:r>
        <w:rPr>
          <w:rFonts w:ascii="Courier" w:hAnsi="Courier"/>
          <w:u w:val="single"/>
        </w:rPr>
        <w:t>Merke:</w:t>
      </w:r>
    </w:p>
    <w:p w:rsidR="009361D1" w:rsidRDefault="0021728A">
      <w:pPr>
        <w:ind w:left="420" w:hanging="420"/>
        <w:rPr>
          <w:rFonts w:ascii="Courier" w:hAnsi="Courier"/>
        </w:rPr>
      </w:pPr>
      <w:r>
        <w:rPr>
          <w:rFonts w:ascii="Courier" w:hAnsi="Courier"/>
        </w:rPr>
        <w:t>1.</w:t>
      </w:r>
      <w:r>
        <w:rPr>
          <w:rFonts w:ascii="Courier" w:hAnsi="Courier"/>
        </w:rPr>
        <w:tab/>
        <w:t xml:space="preserve">Man nennt diesen geregelten Tempusgebrauch des Lateinischen </w:t>
      </w:r>
      <w:r>
        <w:rPr>
          <w:rFonts w:ascii="Courier" w:hAnsi="Courier"/>
          <w:b/>
        </w:rPr>
        <w:t>consecutio temporum</w:t>
      </w:r>
      <w:r>
        <w:rPr>
          <w:rFonts w:ascii="Courier" w:hAnsi="Courier"/>
        </w:rPr>
        <w:t xml:space="preserve"> (Zeitenfolge).</w:t>
      </w:r>
    </w:p>
    <w:p w:rsidR="009361D1" w:rsidRDefault="0021728A" w:rsidP="009361D1">
      <w:pPr>
        <w:ind w:left="420" w:right="-340" w:hanging="420"/>
        <w:rPr>
          <w:rFonts w:ascii="Courier" w:hAnsi="Courier"/>
        </w:rPr>
      </w:pPr>
      <w:r>
        <w:rPr>
          <w:rFonts w:ascii="Courier" w:hAnsi="Courier"/>
        </w:rPr>
        <w:t>2.</w:t>
      </w:r>
      <w:r>
        <w:rPr>
          <w:rFonts w:ascii="Courier" w:hAnsi="Courier"/>
        </w:rPr>
        <w:tab/>
        <w:t>Im Deutschen wi</w:t>
      </w:r>
      <w:r>
        <w:rPr>
          <w:rFonts w:ascii="Courier" w:hAnsi="Courier"/>
        </w:rPr>
        <w:t>rd sie weniger beachtet – aber z.B. bei "nachdem"!</w:t>
      </w:r>
    </w:p>
    <w:p w:rsidR="009361D1" w:rsidRDefault="0021728A">
      <w:pPr>
        <w:ind w:left="420" w:hanging="420"/>
        <w:rPr>
          <w:rFonts w:ascii="Courier" w:hAnsi="Courier"/>
        </w:rPr>
      </w:pPr>
      <w:r>
        <w:rPr>
          <w:rFonts w:ascii="Courier" w:hAnsi="Courier"/>
        </w:rPr>
        <w:t>3.</w:t>
      </w:r>
      <w:r>
        <w:rPr>
          <w:rFonts w:ascii="Courier" w:hAnsi="Courier"/>
        </w:rPr>
        <w:tab/>
        <w:t>Hier ist die consecutio temporum für den Indikativ dargestellt; für den Konjunktiv und den Infinitiv s. den nächsten §.</w:t>
      </w:r>
    </w:p>
    <w:p w:rsidR="009361D1" w:rsidRDefault="0021728A">
      <w:pPr>
        <w:ind w:left="420" w:hanging="420"/>
        <w:rPr>
          <w:rFonts w:ascii="Courier" w:hAnsi="Courier"/>
        </w:rPr>
      </w:pPr>
      <w:r>
        <w:rPr>
          <w:rFonts w:ascii="Courier" w:hAnsi="Courier"/>
        </w:rPr>
        <w:t>4.</w:t>
      </w:r>
      <w:r>
        <w:rPr>
          <w:rFonts w:ascii="Courier" w:hAnsi="Courier"/>
        </w:rPr>
        <w:tab/>
        <w:t>Die Nachzeitigkeit wird mit den Formen der Gleichzeitigkeit ausgedrückt oder um</w:t>
      </w:r>
      <w:r>
        <w:rPr>
          <w:rFonts w:ascii="Courier" w:hAnsi="Courier"/>
        </w:rPr>
        <w:t>schrieben (dazu später).</w:t>
      </w:r>
    </w:p>
    <w:sectPr w:rsidR="009361D1">
      <w:type w:val="continuous"/>
      <w:pgSz w:w="11880" w:h="16820"/>
      <w:pgMar w:top="1021" w:right="1021" w:bottom="851" w:left="1134" w:header="1077" w:footer="1077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9361D1" w:rsidRPr="009361D1" w:rsidRDefault="0021728A">
      <w:pPr>
        <w:pStyle w:val="Funotentext"/>
        <w:rPr>
          <w:rFonts w:ascii="Courier" w:hAnsi="Courier"/>
          <w:sz w:val="20"/>
        </w:rPr>
      </w:pPr>
      <w:r w:rsidRPr="009361D1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9361D1">
        <w:rPr>
          <w:rFonts w:ascii="Courier" w:hAnsi="Courier"/>
          <w:sz w:val="20"/>
        </w:rPr>
        <w:t>Das muss bekanntlich nicht der HS sein, sondern ist z.B. ein übergeordneter NS.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9361D1"/>
    <w:rsid w:val="0021728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9361D1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image" Target="media/image1.pdf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12</vt:lpstr>
    </vt:vector>
  </TitlesOfParts>
  <Company>cheironos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12</dc:title>
  <dc:subject/>
  <dc:creator>Theo Wirth</dc:creator>
  <cp:keywords/>
  <cp:lastModifiedBy>Theo Wirth</cp:lastModifiedBy>
  <cp:revision>2</cp:revision>
  <dcterms:created xsi:type="dcterms:W3CDTF">2009-11-30T09:44:00Z</dcterms:created>
  <dcterms:modified xsi:type="dcterms:W3CDTF">2009-11-30T09:44:00Z</dcterms:modified>
</cp:coreProperties>
</file>