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ict" ContentType="image/pict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8F" w:rsidRDefault="00E008B6" w:rsidP="00A76B8F">
      <w:pPr>
        <w:pBdr>
          <w:bottom w:val="single" w:sz="12" w:space="2" w:color="auto"/>
        </w:pBdr>
        <w:tabs>
          <w:tab w:val="left" w:pos="1418"/>
          <w:tab w:val="left" w:pos="8505"/>
        </w:tabs>
        <w:ind w:right="-275"/>
        <w:rPr>
          <w:rFonts w:ascii="Courier" w:hAnsi="Courier"/>
          <w:b/>
        </w:rPr>
      </w:pPr>
      <w:r>
        <w:rPr>
          <w:rFonts w:ascii="Courier" w:hAnsi="Courier"/>
          <w:b/>
        </w:rPr>
        <w:t>§ 13.5.1</w:t>
      </w:r>
      <w:r>
        <w:rPr>
          <w:rFonts w:ascii="Courier" w:hAnsi="Courier"/>
          <w:b/>
        </w:rPr>
        <w:tab/>
        <w:t>Zur Entstehung der Nebensätze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25)</w:t>
      </w:r>
    </w:p>
    <w:p w:rsidR="00A76B8F" w:rsidRDefault="00E008B6">
      <w:pPr>
        <w:rPr>
          <w:rFonts w:ascii="Courier" w:hAnsi="Courier"/>
        </w:rPr>
      </w:pPr>
    </w:p>
    <w:p w:rsidR="00A76B8F" w:rsidRDefault="00E008B6" w:rsidP="00A76B8F">
      <w:pPr>
        <w:spacing w:line="360" w:lineRule="atLeast"/>
        <w:ind w:right="-340"/>
        <w:rPr>
          <w:rFonts w:ascii="Courier" w:hAnsi="Courier"/>
        </w:rPr>
      </w:pPr>
      <w:r>
        <w:rPr>
          <w:rFonts w:ascii="Courier" w:hAnsi="Courier"/>
        </w:rPr>
        <w:t>Viele Nebensätze (unten: b) sind aus Hauptsätzen (unten: a) ent</w:t>
      </w:r>
      <w:r>
        <w:rPr>
          <w:rFonts w:ascii="Courier" w:hAnsi="Courier"/>
        </w:rPr>
        <w:softHyphen/>
        <w:t>standen; die Unterordnung (Hypotaxe) ist also zum grossen Teil aus der Beiordnung (Parataxe) entstanden:</w:t>
      </w:r>
    </w:p>
    <w:p w:rsidR="00A76B8F" w:rsidRDefault="00E008B6">
      <w:pPr>
        <w:spacing w:line="360" w:lineRule="atLeast"/>
        <w:rPr>
          <w:rFonts w:ascii="Courier" w:hAnsi="Courier"/>
        </w:rPr>
      </w:pPr>
    </w:p>
    <w:p w:rsidR="00A76B8F" w:rsidRDefault="00E008B6">
      <w:pPr>
        <w:rPr>
          <w:rFonts w:ascii="Courier" w:hAnsi="Courier"/>
        </w:rPr>
      </w:pPr>
      <w:r>
        <w:rPr>
          <w:noProof/>
        </w:rPr>
        <w:drawing>
          <wp:inline distT="0" distB="0" distL="0" distR="0">
            <wp:extent cx="4563745" cy="431800"/>
            <wp:effectExtent l="2540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5637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8F" w:rsidRDefault="00E008B6">
      <w:pPr>
        <w:rPr>
          <w:rFonts w:ascii="Courier" w:hAnsi="Courier"/>
        </w:rPr>
      </w:pPr>
    </w:p>
    <w:p w:rsidR="00A76B8F" w:rsidRDefault="00E008B6">
      <w:pPr>
        <w:rPr>
          <w:rFonts w:ascii="Courier" w:hAnsi="Courier"/>
        </w:rPr>
      </w:pPr>
    </w:p>
    <w:p w:rsidR="00A76B8F" w:rsidRDefault="00E008B6">
      <w:pPr>
        <w:rPr>
          <w:rFonts w:ascii="Courier" w:hAnsi="Courier"/>
        </w:rPr>
      </w:pPr>
    </w:p>
    <w:p w:rsidR="00A76B8F" w:rsidRDefault="00E008B6">
      <w:pPr>
        <w:rPr>
          <w:rFonts w:ascii="Courier" w:hAnsi="Courier"/>
        </w:rPr>
      </w:pPr>
    </w:p>
    <w:p w:rsidR="00A76B8F" w:rsidRDefault="00E008B6">
      <w:pPr>
        <w:rPr>
          <w:rFonts w:ascii="Courier" w:hAnsi="Courier"/>
        </w:rPr>
      </w:pPr>
    </w:p>
    <w:p w:rsidR="00A76B8F" w:rsidRDefault="00E008B6">
      <w:pPr>
        <w:rPr>
          <w:rFonts w:ascii="Courier" w:hAnsi="Courier"/>
        </w:rPr>
      </w:pPr>
      <w:r>
        <w:rPr>
          <w:rFonts w:ascii="Courier" w:hAnsi="Courier"/>
        </w:rPr>
        <w:t xml:space="preserve">Vergleiche als Beispiel die </w:t>
      </w:r>
      <w:r>
        <w:rPr>
          <w:rFonts w:ascii="Courier" w:hAnsi="Courier"/>
        </w:rPr>
        <w:t>Entstehung des abh. Begehrsatzes:</w:t>
      </w:r>
    </w:p>
    <w:p w:rsidR="00A76B8F" w:rsidRDefault="00E008B6">
      <w:pPr>
        <w:rPr>
          <w:rFonts w:ascii="Courier" w:hAnsi="Courier"/>
        </w:rPr>
      </w:pPr>
    </w:p>
    <w:p w:rsidR="00A76B8F" w:rsidRDefault="00E008B6">
      <w:pPr>
        <w:rPr>
          <w:rFonts w:ascii="Courier" w:hAnsi="Courier"/>
        </w:rPr>
      </w:pPr>
    </w:p>
    <w:p w:rsidR="00A76B8F" w:rsidRDefault="00E008B6">
      <w:pPr>
        <w:rPr>
          <w:rFonts w:ascii="Courier" w:hAnsi="Courier"/>
        </w:rPr>
      </w:pPr>
    </w:p>
    <w:p w:rsidR="00A76B8F" w:rsidRDefault="00E008B6">
      <w:pPr>
        <w:rPr>
          <w:rFonts w:ascii="Courier" w:hAnsi="Courier"/>
        </w:rPr>
      </w:pPr>
      <w:r>
        <w:rPr>
          <w:noProof/>
        </w:rPr>
        <w:drawing>
          <wp:inline distT="0" distB="0" distL="0" distR="0">
            <wp:extent cx="4589145" cy="3522345"/>
            <wp:effectExtent l="25400" t="0" r="825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589145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8F" w:rsidRDefault="00E008B6">
      <w:pPr>
        <w:pBdr>
          <w:bottom w:val="single" w:sz="12" w:space="2" w:color="auto"/>
        </w:pBdr>
        <w:tabs>
          <w:tab w:val="left" w:pos="2540"/>
        </w:tabs>
        <w:ind w:right="-20"/>
        <w:rPr>
          <w:rFonts w:ascii="Courier" w:hAnsi="Courier"/>
          <w:b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>§ 13.5.2</w:t>
      </w:r>
      <w:r>
        <w:rPr>
          <w:rFonts w:ascii="Courier" w:hAnsi="Courier"/>
          <w:b/>
        </w:rPr>
        <w:tab/>
        <w:t>Äussere und innere Abhängigkeit</w:t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25)</w:t>
      </w:r>
    </w:p>
    <w:p w:rsidR="00A76B8F" w:rsidRDefault="00E008B6">
      <w:pPr>
        <w:rPr>
          <w:rFonts w:ascii="Courier" w:hAnsi="Courier"/>
          <w:sz w:val="18"/>
          <w:szCs w:val="18"/>
        </w:rPr>
      </w:pPr>
    </w:p>
    <w:p w:rsidR="00A76B8F" w:rsidRDefault="00E008B6">
      <w:pPr>
        <w:ind w:left="420" w:right="-275" w:hanging="420"/>
        <w:rPr>
          <w:rFonts w:ascii="Courier" w:hAnsi="Courier"/>
        </w:rPr>
      </w:pPr>
      <w:r>
        <w:rPr>
          <w:rFonts w:ascii="Courier" w:hAnsi="Courier"/>
        </w:rPr>
        <w:t>1.</w:t>
      </w:r>
      <w:r>
        <w:rPr>
          <w:rFonts w:ascii="Courier" w:hAnsi="Courier"/>
        </w:rPr>
        <w:tab/>
        <w:t xml:space="preserve">Die Nebensätze sind immer mindestens </w:t>
      </w:r>
      <w:r>
        <w:rPr>
          <w:rFonts w:ascii="Courier" w:hAnsi="Courier"/>
          <w:b/>
        </w:rPr>
        <w:t>äusserlich</w:t>
      </w:r>
      <w:r>
        <w:rPr>
          <w:rFonts w:ascii="Courier" w:hAnsi="Courier"/>
        </w:rPr>
        <w:t xml:space="preserve"> von einem überge</w:t>
      </w:r>
      <w:r>
        <w:rPr>
          <w:rFonts w:ascii="Courier" w:hAnsi="Courier"/>
        </w:rPr>
        <w:softHyphen/>
        <w:t>ordneten Satz abhängig (rein grammatisch, v.a. mittels Subjunk</w:t>
      </w:r>
      <w:r>
        <w:rPr>
          <w:rFonts w:ascii="Courier" w:hAnsi="Courier"/>
        </w:rPr>
        <w:softHyphen/>
        <w:t xml:space="preserve">tion); sie werden deshalb auch </w:t>
      </w:r>
      <w:r>
        <w:rPr>
          <w:rFonts w:ascii="Courier" w:hAnsi="Courier"/>
        </w:rPr>
        <w:t>als abhängige Sätze bezeichnet:</w:t>
      </w:r>
    </w:p>
    <w:p w:rsidR="00A76B8F" w:rsidRDefault="00E008B6">
      <w:pPr>
        <w:ind w:right="-275"/>
        <w:rPr>
          <w:rFonts w:ascii="Courier" w:hAnsi="Courier"/>
          <w:sz w:val="18"/>
          <w:szCs w:val="18"/>
        </w:rPr>
      </w:pPr>
    </w:p>
    <w:p w:rsidR="00A76B8F" w:rsidRDefault="00E008B6">
      <w:pPr>
        <w:spacing w:line="360" w:lineRule="atLeast"/>
        <w:ind w:right="-275"/>
        <w:rPr>
          <w:rFonts w:ascii="Courier" w:hAnsi="Courier"/>
        </w:rPr>
      </w:pPr>
      <w:r>
        <w:rPr>
          <w:rFonts w:ascii="Courier" w:hAnsi="Courier"/>
          <w:noProof/>
        </w:rPr>
        <w:drawing>
          <wp:inline distT="0" distB="0" distL="0" distR="0">
            <wp:extent cx="6113145" cy="1541145"/>
            <wp:effectExtent l="0" t="0" r="825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11314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8F" w:rsidRPr="00A76B8F" w:rsidRDefault="00E008B6">
      <w:pPr>
        <w:ind w:right="-275"/>
        <w:rPr>
          <w:rFonts w:ascii="Courier" w:hAnsi="Courier"/>
          <w:sz w:val="18"/>
        </w:rPr>
      </w:pPr>
    </w:p>
    <w:p w:rsidR="00A76B8F" w:rsidRDefault="00E008B6">
      <w:pPr>
        <w:ind w:left="420" w:right="-275" w:hanging="420"/>
        <w:rPr>
          <w:rFonts w:ascii="Courier" w:hAnsi="Courier"/>
        </w:rPr>
      </w:pPr>
      <w:r>
        <w:rPr>
          <w:rFonts w:ascii="Courier" w:hAnsi="Courier"/>
        </w:rPr>
        <w:t>2.</w:t>
      </w:r>
      <w:r>
        <w:rPr>
          <w:rFonts w:ascii="Courier" w:hAnsi="Courier"/>
        </w:rPr>
        <w:tab/>
        <w:t xml:space="preserve">Zudem können aber alle NS-Arten auch noch </w:t>
      </w:r>
      <w:r>
        <w:rPr>
          <w:rFonts w:ascii="Courier" w:hAnsi="Courier"/>
          <w:b/>
        </w:rPr>
        <w:t>innerlich</w:t>
      </w:r>
      <w:r>
        <w:rPr>
          <w:rFonts w:ascii="Courier" w:hAnsi="Courier"/>
        </w:rPr>
        <w:t xml:space="preserve"> abhängig sein: nämlich dann, wenn der Sprechende oder Schreibende einen Nebensatz nicht wie bei 1. als seine eigene Ansicht, sondern als </w:t>
      </w:r>
      <w:r>
        <w:rPr>
          <w:rFonts w:ascii="Courier" w:hAnsi="Courier"/>
          <w:b/>
        </w:rPr>
        <w:t>Äusserung oder Gedanken eine</w:t>
      </w:r>
      <w:r>
        <w:rPr>
          <w:rFonts w:ascii="Courier" w:hAnsi="Courier"/>
          <w:b/>
        </w:rPr>
        <w:t>r anderen Person</w:t>
      </w:r>
      <w:r>
        <w:rPr>
          <w:rFonts w:ascii="Courier" w:hAnsi="Courier"/>
        </w:rPr>
        <w:t xml:space="preserve"> hinstellt. Diese andere Person ist meistens </w:t>
      </w:r>
      <w:r>
        <w:rPr>
          <w:rFonts w:ascii="Courier" w:hAnsi="Courier"/>
          <w:b/>
        </w:rPr>
        <w:t>das Subjekt des übergeordneten Satzes</w:t>
      </w:r>
      <w:r>
        <w:rPr>
          <w:rFonts w:ascii="Courier" w:hAnsi="Courier"/>
        </w:rPr>
        <w:t>:</w:t>
      </w:r>
    </w:p>
    <w:p w:rsidR="00A76B8F" w:rsidRDefault="00E008B6">
      <w:pPr>
        <w:ind w:right="-275"/>
        <w:rPr>
          <w:rFonts w:ascii="Courier" w:hAnsi="Courier"/>
          <w:sz w:val="18"/>
          <w:szCs w:val="18"/>
        </w:rPr>
      </w:pPr>
    </w:p>
    <w:p w:rsidR="00A76B8F" w:rsidRDefault="00E008B6">
      <w:pPr>
        <w:spacing w:line="360" w:lineRule="atLeast"/>
        <w:ind w:right="-275"/>
        <w:rPr>
          <w:rFonts w:ascii="Courier" w:hAnsi="Courier"/>
        </w:rPr>
      </w:pPr>
      <w:r>
        <w:rPr>
          <w:rFonts w:ascii="Courier" w:hAnsi="Courier"/>
          <w:noProof/>
        </w:rPr>
        <w:drawing>
          <wp:inline distT="0" distB="0" distL="0" distR="0">
            <wp:extent cx="6070600" cy="22098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070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8F" w:rsidRPr="00A76B8F" w:rsidRDefault="00E008B6">
      <w:pPr>
        <w:ind w:right="-275"/>
        <w:rPr>
          <w:rFonts w:ascii="Courier" w:hAnsi="Courier"/>
          <w:sz w:val="18"/>
        </w:rPr>
      </w:pPr>
    </w:p>
    <w:p w:rsidR="00A76B8F" w:rsidRDefault="00E008B6">
      <w:pPr>
        <w:ind w:right="-275"/>
        <w:rPr>
          <w:rFonts w:ascii="Courier" w:hAnsi="Courier"/>
        </w:rPr>
      </w:pPr>
      <w:r>
        <w:rPr>
          <w:rFonts w:ascii="Courier" w:hAnsi="Courier"/>
        </w:rPr>
        <w:t>Das Kennzeichen für die innere Abhängigkeit ist im Latein und im Deutschen der Konjunktiv; in dieser Funktion wird er bezeichnet als</w:t>
      </w:r>
    </w:p>
    <w:p w:rsidR="00A76B8F" w:rsidRDefault="00E008B6" w:rsidP="00A76B8F">
      <w:pPr>
        <w:tabs>
          <w:tab w:val="left" w:pos="709"/>
        </w:tabs>
        <w:spacing w:before="160"/>
        <w:ind w:right="-272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b/>
          <w:spacing w:val="100"/>
        </w:rPr>
        <w:t>coniunctivus obliq</w:t>
      </w:r>
      <w:r>
        <w:rPr>
          <w:rFonts w:ascii="Courier" w:hAnsi="Courier"/>
          <w:b/>
          <w:spacing w:val="100"/>
        </w:rPr>
        <w:t>uus</w:t>
      </w:r>
      <w:r>
        <w:rPr>
          <w:rFonts w:ascii="Courier" w:hAnsi="Courier"/>
        </w:rPr>
        <w:t xml:space="preserve"> (abhängiger Konj.),</w:t>
      </w:r>
    </w:p>
    <w:p w:rsidR="00A76B8F" w:rsidRDefault="00E008B6" w:rsidP="00A76B8F">
      <w:pPr>
        <w:tabs>
          <w:tab w:val="left" w:pos="709"/>
        </w:tabs>
        <w:spacing w:before="160"/>
        <w:ind w:right="-272"/>
        <w:rPr>
          <w:rFonts w:ascii="Courier" w:hAnsi="Courier"/>
        </w:rPr>
      </w:pPr>
      <w:r>
        <w:rPr>
          <w:rFonts w:ascii="Courier" w:hAnsi="Courier"/>
        </w:rPr>
        <w:tab/>
        <w:t xml:space="preserve">im Latein nach der  </w:t>
      </w:r>
      <w:r>
        <w:rPr>
          <w:rFonts w:ascii="Courier" w:hAnsi="Courier"/>
          <w:b/>
          <w:spacing w:val="100"/>
        </w:rPr>
        <w:t>consecutio temporum</w:t>
      </w:r>
      <w:r w:rsidRPr="00A76B8F">
        <w:rPr>
          <w:rStyle w:val="Funotenzeichen"/>
        </w:rPr>
        <w:footnoteReference w:id="-1"/>
      </w:r>
      <w:r>
        <w:rPr>
          <w:rFonts w:ascii="Courier" w:hAnsi="Courier"/>
        </w:rPr>
        <w:t>.</w:t>
      </w:r>
    </w:p>
    <w:p w:rsidR="00A76B8F" w:rsidRDefault="00E008B6" w:rsidP="00A76B8F">
      <w:pPr>
        <w:spacing w:before="160"/>
        <w:ind w:right="-272"/>
        <w:rPr>
          <w:rFonts w:ascii="Courier" w:hAnsi="Courier"/>
        </w:rPr>
      </w:pPr>
      <w:r>
        <w:rPr>
          <w:rFonts w:ascii="Courier" w:hAnsi="Courier"/>
        </w:rPr>
        <w:t>Immer innerlich abhängig</w:t>
      </w:r>
      <w:r w:rsidRPr="00A76B8F">
        <w:rPr>
          <w:rStyle w:val="Funotenzeichen"/>
        </w:rPr>
        <w:footnoteReference w:id="0"/>
      </w:r>
      <w:r>
        <w:rPr>
          <w:rFonts w:ascii="Courier" w:hAnsi="Courier"/>
        </w:rPr>
        <w:t xml:space="preserve"> sind im Latein:</w:t>
      </w:r>
    </w:p>
    <w:p w:rsidR="00A76B8F" w:rsidRDefault="00E008B6">
      <w:pPr>
        <w:ind w:right="-275"/>
        <w:rPr>
          <w:rFonts w:ascii="Courier" w:hAnsi="Courier"/>
        </w:rPr>
      </w:pPr>
      <w:r>
        <w:rPr>
          <w:rFonts w:ascii="Courier" w:hAnsi="Courier"/>
        </w:rPr>
        <w:t>- die abhängigen Aussagesätze (s. § 13.3.1: a.c.i.),</w:t>
      </w:r>
    </w:p>
    <w:p w:rsidR="00A76B8F" w:rsidRDefault="00E008B6">
      <w:pPr>
        <w:ind w:right="-275"/>
        <w:rPr>
          <w:rFonts w:ascii="Courier" w:hAnsi="Courier"/>
        </w:rPr>
      </w:pPr>
      <w:r>
        <w:rPr>
          <w:rFonts w:ascii="Courier" w:hAnsi="Courier"/>
        </w:rPr>
        <w:t>- die abhängigen Begehrsätze (s. § 13.3.2; 13.3.1 im a.c.i.),</w:t>
      </w:r>
    </w:p>
    <w:p w:rsidR="00A76B8F" w:rsidRDefault="00E008B6">
      <w:pPr>
        <w:ind w:right="-275"/>
        <w:rPr>
          <w:rFonts w:ascii="Courier" w:hAnsi="Courier"/>
        </w:rPr>
      </w:pPr>
      <w:r>
        <w:rPr>
          <w:rFonts w:ascii="Courier" w:hAnsi="Courier"/>
        </w:rPr>
        <w:t xml:space="preserve">- die abhängigen Fragesätze (s. </w:t>
      </w:r>
      <w:r>
        <w:rPr>
          <w:rFonts w:ascii="Courier" w:hAnsi="Courier"/>
        </w:rPr>
        <w:t>§ 13.3.3)</w:t>
      </w:r>
      <w:r w:rsidRPr="00A76B8F">
        <w:rPr>
          <w:rStyle w:val="Funotenzeichen"/>
        </w:rPr>
        <w:footnoteReference w:id="1"/>
      </w:r>
      <w:r>
        <w:rPr>
          <w:rFonts w:ascii="Courier" w:hAnsi="Courier"/>
        </w:rPr>
        <w:t>.</w:t>
      </w:r>
    </w:p>
    <w:p w:rsidR="00A76B8F" w:rsidRPr="00A76B8F" w:rsidRDefault="00E008B6">
      <w:pPr>
        <w:ind w:right="-275"/>
        <w:rPr>
          <w:rFonts w:ascii="Courier" w:hAnsi="Courier"/>
          <w:sz w:val="20"/>
          <w:szCs w:val="32"/>
        </w:rPr>
      </w:pPr>
    </w:p>
    <w:p w:rsidR="00A76B8F" w:rsidRDefault="00E008B6">
      <w:pPr>
        <w:rPr>
          <w:rFonts w:ascii="Courier" w:hAnsi="Courier"/>
        </w:rPr>
      </w:pPr>
      <w:r>
        <w:rPr>
          <w:rFonts w:ascii="Courier" w:hAnsi="Courier"/>
        </w:rPr>
        <w:t xml:space="preserve">Als </w:t>
      </w:r>
      <w:r>
        <w:rPr>
          <w:rFonts w:ascii="Courier" w:hAnsi="Courier"/>
          <w:u w:val="single"/>
        </w:rPr>
        <w:t>Beispiel</w:t>
      </w:r>
      <w:r>
        <w:rPr>
          <w:rFonts w:ascii="Courier" w:hAnsi="Courier"/>
        </w:rPr>
        <w:t xml:space="preserve"> ein Kausalsatz:</w:t>
      </w:r>
    </w:p>
    <w:p w:rsidR="00A76B8F" w:rsidRDefault="00E008B6">
      <w:pPr>
        <w:ind w:left="420" w:hanging="420"/>
        <w:rPr>
          <w:rFonts w:ascii="Courier" w:hAnsi="Courier"/>
        </w:rPr>
      </w:pPr>
      <w:r>
        <w:rPr>
          <w:rFonts w:ascii="Courier" w:hAnsi="Courier"/>
        </w:rPr>
        <w:t>1.</w:t>
      </w:r>
      <w:r>
        <w:rPr>
          <w:rFonts w:ascii="Courier" w:hAnsi="Courier"/>
        </w:rPr>
        <w:tab/>
        <w:t>nur äusserlich abhängig:</w:t>
      </w:r>
      <w:r>
        <w:rPr>
          <w:rFonts w:ascii="Courier" w:hAnsi="Courier"/>
        </w:rPr>
        <w:br/>
        <w:t xml:space="preserve">Cato vilicum vituperavit, quod piger </w:t>
      </w:r>
      <w:r>
        <w:rPr>
          <w:rFonts w:ascii="Courier" w:hAnsi="Courier"/>
          <w:u w:val="single"/>
        </w:rPr>
        <w:t>fuerat</w:t>
      </w:r>
      <w:r>
        <w:rPr>
          <w:rFonts w:ascii="Courier" w:hAnsi="Courier"/>
        </w:rPr>
        <w:t>:</w:t>
      </w:r>
      <w:r>
        <w:rPr>
          <w:rFonts w:ascii="Courier" w:hAnsi="Courier"/>
        </w:rPr>
        <w:br/>
        <w:t xml:space="preserve">Cato kritisierte den Gutsverwalter, weil er faul gewesen </w:t>
      </w:r>
      <w:r>
        <w:rPr>
          <w:rFonts w:ascii="Courier" w:hAnsi="Courier"/>
          <w:u w:val="single"/>
        </w:rPr>
        <w:t>war</w:t>
      </w:r>
      <w:r>
        <w:rPr>
          <w:rFonts w:ascii="Courier" w:hAnsi="Courier"/>
        </w:rPr>
        <w:t>.</w:t>
      </w:r>
    </w:p>
    <w:p w:rsidR="00A76B8F" w:rsidRPr="00A76B8F" w:rsidRDefault="00E008B6">
      <w:pPr>
        <w:ind w:left="420" w:hanging="420"/>
        <w:rPr>
          <w:rFonts w:ascii="Courier" w:hAnsi="Courier"/>
          <w:sz w:val="12"/>
          <w:szCs w:val="18"/>
        </w:rPr>
      </w:pPr>
    </w:p>
    <w:p w:rsidR="00A76B8F" w:rsidRDefault="00E008B6">
      <w:pPr>
        <w:ind w:left="420" w:hanging="420"/>
        <w:rPr>
          <w:rFonts w:ascii="Courier" w:hAnsi="Courier"/>
        </w:rPr>
      </w:pPr>
      <w:r>
        <w:rPr>
          <w:rFonts w:ascii="Courier" w:hAnsi="Courier"/>
        </w:rPr>
        <w:t>2.</w:t>
      </w:r>
      <w:r>
        <w:rPr>
          <w:rFonts w:ascii="Courier" w:hAnsi="Courier"/>
        </w:rPr>
        <w:tab/>
        <w:t>zusätzlich auch noch innerlich abhängig:</w:t>
      </w:r>
      <w:r>
        <w:rPr>
          <w:rFonts w:ascii="Courier" w:hAnsi="Courier"/>
        </w:rPr>
        <w:br/>
        <w:t>Cato vilicum vituperavit, quod pig</w:t>
      </w:r>
      <w:r>
        <w:rPr>
          <w:rFonts w:ascii="Courier" w:hAnsi="Courier"/>
        </w:rPr>
        <w:t xml:space="preserve">er </w:t>
      </w:r>
      <w:r>
        <w:rPr>
          <w:rFonts w:ascii="Courier" w:hAnsi="Courier"/>
          <w:u w:val="single"/>
        </w:rPr>
        <w:t>fuisset</w:t>
      </w:r>
      <w:r>
        <w:rPr>
          <w:rFonts w:ascii="Courier" w:hAnsi="Courier"/>
        </w:rPr>
        <w:t>:</w:t>
      </w:r>
      <w:r>
        <w:rPr>
          <w:rFonts w:ascii="Courier" w:hAnsi="Courier"/>
        </w:rPr>
        <w:br/>
        <w:t xml:space="preserve">Cato kritisierte den Gutsverwalter, weil er faul gewesen </w:t>
      </w:r>
      <w:r>
        <w:rPr>
          <w:rFonts w:ascii="Courier" w:hAnsi="Courier"/>
          <w:u w:val="single"/>
        </w:rPr>
        <w:t>sei</w:t>
      </w:r>
      <w:r>
        <w:rPr>
          <w:rFonts w:ascii="Courier" w:hAnsi="Courier"/>
        </w:rPr>
        <w:t>.</w:t>
      </w:r>
    </w:p>
    <w:sectPr w:rsidR="00A76B8F">
      <w:pgSz w:w="11880" w:h="16800"/>
      <w:pgMar w:top="851" w:right="1021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A76B8F" w:rsidRPr="00A76B8F" w:rsidRDefault="00E008B6">
      <w:pPr>
        <w:pStyle w:val="Funotentext"/>
        <w:ind w:left="300" w:hanging="300"/>
        <w:rPr>
          <w:rFonts w:ascii="Courier" w:hAnsi="Courier"/>
          <w:sz w:val="20"/>
        </w:rPr>
      </w:pPr>
      <w:r w:rsidRPr="00A76B8F">
        <w:rPr>
          <w:rStyle w:val="Funotenzeichen"/>
        </w:rPr>
        <w:footnoteRef/>
      </w:r>
      <w:r w:rsidRPr="00A76B8F">
        <w:rPr>
          <w:rFonts w:ascii="Courier" w:hAnsi="Courier"/>
        </w:rPr>
        <w:tab/>
      </w:r>
      <w:r w:rsidRPr="00A76B8F">
        <w:rPr>
          <w:rFonts w:ascii="Courier" w:hAnsi="Courier"/>
          <w:sz w:val="20"/>
        </w:rPr>
        <w:t>im Deutschen wird sie nicht streng eingehalten.</w:t>
      </w:r>
    </w:p>
  </w:footnote>
  <w:footnote w:id="0">
    <w:p w:rsidR="00A76B8F" w:rsidRPr="00A76B8F" w:rsidRDefault="00E008B6">
      <w:pPr>
        <w:pStyle w:val="Funotentext"/>
        <w:ind w:left="300" w:hanging="300"/>
        <w:rPr>
          <w:rFonts w:ascii="Courier" w:hAnsi="Courier"/>
          <w:sz w:val="20"/>
        </w:rPr>
      </w:pPr>
      <w:r w:rsidRPr="00A76B8F">
        <w:rPr>
          <w:rStyle w:val="Funotenzeichen"/>
        </w:rPr>
        <w:footnoteRef/>
      </w:r>
      <w:r w:rsidRPr="00A76B8F">
        <w:rPr>
          <w:rFonts w:ascii="Courier" w:hAnsi="Courier"/>
          <w:sz w:val="20"/>
        </w:rPr>
        <w:tab/>
        <w:t>Begründung?</w:t>
      </w:r>
    </w:p>
  </w:footnote>
  <w:footnote w:id="1">
    <w:p w:rsidR="00A76B8F" w:rsidRPr="00A76B8F" w:rsidRDefault="00E008B6" w:rsidP="00A76B8F">
      <w:pPr>
        <w:pStyle w:val="Funotentext"/>
        <w:ind w:left="300" w:right="-623" w:hanging="300"/>
        <w:rPr>
          <w:rFonts w:ascii="Courier" w:hAnsi="Courier"/>
          <w:sz w:val="20"/>
        </w:rPr>
      </w:pPr>
      <w:r w:rsidRPr="00A76B8F">
        <w:rPr>
          <w:rStyle w:val="Funotenzeichen"/>
        </w:rPr>
        <w:footnoteRef/>
      </w:r>
      <w:r w:rsidRPr="00A76B8F">
        <w:rPr>
          <w:rFonts w:ascii="Courier" w:hAnsi="Courier"/>
          <w:sz w:val="20"/>
        </w:rPr>
        <w:tab/>
        <w:t xml:space="preserve">im Dt. </w:t>
      </w:r>
      <w:r w:rsidRPr="00A76B8F">
        <w:rPr>
          <w:rFonts w:ascii="Courier" w:hAnsi="Courier"/>
          <w:i/>
          <w:sz w:val="20"/>
        </w:rPr>
        <w:t>können</w:t>
      </w:r>
      <w:r w:rsidRPr="00A76B8F">
        <w:rPr>
          <w:rFonts w:ascii="Courier" w:hAnsi="Courier"/>
          <w:sz w:val="20"/>
        </w:rPr>
        <w:t xml:space="preserve"> die 3 Satzarten als inner. abh. behandelt werden, müssen aber nicht.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5B6E84"/>
    <w:rsid w:val="00E008B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5B6E84"/>
    <w:rPr>
      <w:vertAlign w:val="superscript"/>
    </w:rPr>
  </w:style>
  <w:style w:type="character" w:styleId="Funotenzeichen">
    <w:name w:val="footnote reference"/>
    <w:basedOn w:val="Absatz-Standardschriftart"/>
    <w:rsid w:val="00A76B8F"/>
    <w:rPr>
      <w:rFonts w:ascii="Courier" w:hAnsi="Courier"/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image" Target="media/image1.pict"/><Relationship Id="rId7" Type="http://schemas.openxmlformats.org/officeDocument/2006/relationships/image" Target="media/image4.png"/><Relationship Id="rId11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df"/><Relationship Id="rId8" Type="http://schemas.openxmlformats.org/officeDocument/2006/relationships/image" Target="media/image5.pdf"/><Relationship Id="rId13" Type="http://schemas.openxmlformats.org/officeDocument/2006/relationships/fontTable" Target="fontTable.xml"/><Relationship Id="rId10" Type="http://schemas.openxmlformats.org/officeDocument/2006/relationships/image" Target="media/image7.pdf"/><Relationship Id="rId5" Type="http://schemas.openxmlformats.org/officeDocument/2006/relationships/image" Target="media/image2.png"/><Relationship Id="rId12" Type="http://schemas.openxmlformats.org/officeDocument/2006/relationships/footnotes" Target="footnotes.xml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13</vt:lpstr>
    </vt:vector>
  </TitlesOfParts>
  <Company>cheironos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13</dc:title>
  <dc:subject/>
  <dc:creator>Theo Wirth</dc:creator>
  <cp:keywords/>
  <cp:lastModifiedBy>Theo Wirth</cp:lastModifiedBy>
  <cp:revision>2</cp:revision>
  <dcterms:created xsi:type="dcterms:W3CDTF">2009-12-03T08:54:00Z</dcterms:created>
  <dcterms:modified xsi:type="dcterms:W3CDTF">2009-12-03T08:54:00Z</dcterms:modified>
</cp:coreProperties>
</file>