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5" w:rsidRDefault="00B87555" w:rsidP="004F07D5">
      <w:pPr>
        <w:pBdr>
          <w:bottom w:val="single" w:sz="12" w:space="2" w:color="auto"/>
        </w:pBdr>
        <w:tabs>
          <w:tab w:val="left" w:pos="1276"/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14.2</w:t>
      </w:r>
      <w:r>
        <w:rPr>
          <w:rFonts w:ascii="Courier" w:hAnsi="Courier"/>
          <w:b/>
        </w:rPr>
        <w:tab/>
        <w:t>Der relative Anschluss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17)</w:t>
      </w:r>
    </w:p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>
      <w:pPr>
        <w:pBdr>
          <w:bottom w:val="single" w:sz="6" w:space="1" w:color="auto"/>
        </w:pBdr>
        <w:ind w:right="7386"/>
        <w:rPr>
          <w:rFonts w:ascii="Courier" w:hAnsi="Courier"/>
          <w:b/>
        </w:rPr>
      </w:pPr>
      <w:r>
        <w:rPr>
          <w:rFonts w:ascii="Courier" w:hAnsi="Courier"/>
          <w:b/>
        </w:rPr>
        <w:t>1. Einleitung</w:t>
      </w:r>
    </w:p>
    <w:p w:rsidR="004F07D5" w:rsidRDefault="00B87555">
      <w:pPr>
        <w:spacing w:before="40"/>
        <w:rPr>
          <w:rFonts w:ascii="Courier" w:hAnsi="Courier"/>
        </w:rPr>
      </w:pPr>
      <w:r>
        <w:rPr>
          <w:rFonts w:ascii="Courier" w:hAnsi="Courier"/>
        </w:rPr>
        <w:t>In einem zusammenhängenden Text nimmt ja oft ein späterer Hauptsatz etwas aus einem vorangegangenen Hauptsatz wieder auf; zur Schaffung dieser "Kohärenz" (Zusammenhang) dienen bekanntlich die Determin</w:t>
      </w:r>
      <w:r>
        <w:rPr>
          <w:rFonts w:ascii="Courier" w:hAnsi="Courier"/>
        </w:rPr>
        <w:t>a-tivpronomina:</w:t>
      </w:r>
    </w:p>
    <w:p w:rsidR="004F07D5" w:rsidRDefault="00B87555" w:rsidP="004F07D5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(Ostia 16) Erat Athenis </w:t>
      </w:r>
      <w:r>
        <w:rPr>
          <w:rFonts w:ascii="Courier" w:hAnsi="Courier"/>
          <w:i/>
        </w:rPr>
        <w:t>villa</w:t>
      </w:r>
      <w:r>
        <w:rPr>
          <w:rFonts w:ascii="Courier" w:hAnsi="Courier"/>
        </w:rPr>
        <w:t xml:space="preserve"> magnifica. </w:t>
      </w:r>
      <w:r>
        <w:rPr>
          <w:rFonts w:ascii="Courier" w:hAnsi="Courier"/>
          <w:u w:val="single"/>
        </w:rPr>
        <w:t>In e</w:t>
      </w:r>
      <w:r>
        <w:rPr>
          <w:rFonts w:ascii="Courier" w:hAnsi="Courier"/>
          <w:u w:val="single"/>
        </w:rPr>
        <w:t>ā</w:t>
      </w:r>
      <w:r>
        <w:rPr>
          <w:rFonts w:ascii="Courier" w:hAnsi="Courier"/>
        </w:rPr>
        <w:t xml:space="preserve"> sonus ferri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mediā nocte audiebatur:</w:t>
      </w:r>
    </w:p>
    <w:p w:rsidR="004F07D5" w:rsidRDefault="00B87555" w:rsidP="004F07D5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In Athen stand ein prächtiges </w:t>
      </w:r>
      <w:r>
        <w:rPr>
          <w:rFonts w:ascii="Courier" w:hAnsi="Courier"/>
          <w:i/>
        </w:rPr>
        <w:t>Haus</w:t>
      </w:r>
      <w:r>
        <w:rPr>
          <w:rFonts w:ascii="Courier" w:hAnsi="Courier"/>
        </w:rPr>
        <w:t xml:space="preserve">. In </w:t>
      </w:r>
      <w:r>
        <w:rPr>
          <w:rFonts w:ascii="Courier" w:hAnsi="Courier"/>
          <w:u w:val="single"/>
        </w:rPr>
        <w:t>diesem</w:t>
      </w:r>
      <w:r>
        <w:rPr>
          <w:rFonts w:ascii="Courier" w:hAnsi="Courier"/>
        </w:rPr>
        <w:t xml:space="preserve"> hörte man um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Mitternacht jeweils das Klirren von Eisen.</w:t>
      </w:r>
    </w:p>
    <w:p w:rsidR="004F07D5" w:rsidRDefault="00B87555">
      <w:pPr>
        <w:rPr>
          <w:rFonts w:ascii="Courier" w:hAnsi="Courier"/>
        </w:rPr>
      </w:pPr>
    </w:p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>
      <w:pPr>
        <w:pBdr>
          <w:bottom w:val="single" w:sz="6" w:space="1" w:color="auto"/>
        </w:pBdr>
        <w:ind w:right="826"/>
        <w:rPr>
          <w:rFonts w:ascii="Courier" w:hAnsi="Courier"/>
          <w:b/>
        </w:rPr>
      </w:pPr>
      <w:r>
        <w:rPr>
          <w:rFonts w:ascii="Courier" w:hAnsi="Courier"/>
          <w:b/>
        </w:rPr>
        <w:t>2. Der relative Anschluss im Latein als Kohärenzmittel</w:t>
      </w:r>
    </w:p>
    <w:p w:rsidR="004F07D5" w:rsidRDefault="00B87555">
      <w:pPr>
        <w:spacing w:before="40" w:line="300" w:lineRule="atLeast"/>
        <w:rPr>
          <w:rFonts w:ascii="Courier" w:hAnsi="Courier"/>
        </w:rPr>
      </w:pPr>
      <w:r>
        <w:rPr>
          <w:rFonts w:ascii="Courier" w:hAnsi="Courier"/>
        </w:rPr>
        <w:t>Im Latein wird in Texten sehr viel Gewicht auf den Zus</w:t>
      </w:r>
      <w:r>
        <w:rPr>
          <w:rFonts w:ascii="Courier" w:hAnsi="Courier"/>
        </w:rPr>
        <w:t xml:space="preserve">ammenhang gelegt, damit die Aussage möglichst klar wird </w:t>
      </w:r>
      <w:r>
        <w:rPr>
          <w:rFonts w:ascii="Courier" w:hAnsi="Courier"/>
          <w:sz w:val="20"/>
        </w:rPr>
        <w:t>(textus = "Gewebe"! keine isolierten "Fäden"!)</w:t>
      </w:r>
      <w:r>
        <w:rPr>
          <w:rFonts w:ascii="Courier" w:hAnsi="Courier"/>
        </w:rPr>
        <w:t>.</w:t>
      </w:r>
    </w:p>
    <w:p w:rsidR="004F07D5" w:rsidRDefault="00B87555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Zu dieser engen Verbindung dient nun auch der Ersatz von Deter-minativpronomina durch Relativpronomina: </w:t>
      </w:r>
      <w:r>
        <w:rPr>
          <w:rFonts w:ascii="Courier" w:hAnsi="Courier"/>
          <w:b/>
          <w:u w:val="single"/>
        </w:rPr>
        <w:t>relativer Anschluss</w:t>
      </w:r>
      <w:r>
        <w:rPr>
          <w:rFonts w:ascii="Courier" w:hAnsi="Courier"/>
        </w:rPr>
        <w:t>:</w:t>
      </w:r>
    </w:p>
    <w:p w:rsidR="004F07D5" w:rsidRDefault="00B87555" w:rsidP="004F07D5">
      <w:pPr>
        <w:tabs>
          <w:tab w:val="left" w:pos="709"/>
        </w:tabs>
        <w:spacing w:before="40"/>
        <w:rPr>
          <w:rFonts w:ascii="Courier" w:hAnsi="Courier"/>
        </w:rPr>
      </w:pPr>
      <w:r>
        <w:rPr>
          <w:rFonts w:ascii="Courier" w:hAnsi="Courier"/>
        </w:rPr>
        <w:tab/>
        <w:t xml:space="preserve">Erat Athenis </w:t>
      </w:r>
      <w:r>
        <w:rPr>
          <w:rFonts w:ascii="Courier" w:hAnsi="Courier"/>
          <w:i/>
        </w:rPr>
        <w:t>villa</w:t>
      </w:r>
      <w:r>
        <w:rPr>
          <w:rFonts w:ascii="Courier" w:hAnsi="Courier"/>
        </w:rPr>
        <w:t xml:space="preserve"> magnifi</w:t>
      </w:r>
      <w:r>
        <w:rPr>
          <w:rFonts w:ascii="Courier" w:hAnsi="Courier"/>
        </w:rPr>
        <w:t xml:space="preserve">ca. In </w:t>
      </w:r>
      <w:r w:rsidRPr="00DB0434">
        <w:rPr>
          <w:rFonts w:ascii="Courier" w:hAnsi="Courier"/>
          <w:bdr w:val="single" w:sz="4" w:space="0" w:color="auto"/>
        </w:rPr>
        <w:t>quā</w:t>
      </w:r>
      <w:r>
        <w:rPr>
          <w:rFonts w:ascii="Courier" w:hAnsi="Courier"/>
        </w:rPr>
        <w:t xml:space="preserve"> sonus ferri mediā nocte </w:t>
      </w:r>
      <w:r>
        <w:rPr>
          <w:rFonts w:ascii="Courier" w:hAnsi="Courier"/>
        </w:rPr>
        <w:tab/>
        <w:t>audiebatur.</w:t>
      </w:r>
      <w:r w:rsidRPr="00DB0434">
        <w:rPr>
          <w:rStyle w:val="Funotenzeichen"/>
        </w:rPr>
        <w:footnoteReference w:id="-1"/>
      </w:r>
    </w:p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>Die Übersetzung bleibt unverändert determinativ, weil das Deutsche den relativen Anschluss nicht kennt; man kann aber die engere Ver-knüpfung mit Konnektoren ausdrücken:</w:t>
      </w:r>
    </w:p>
    <w:p w:rsidR="004F07D5" w:rsidRDefault="00B87555" w:rsidP="004F07D5">
      <w:pPr>
        <w:tabs>
          <w:tab w:val="left" w:pos="709"/>
        </w:tabs>
        <w:spacing w:before="80"/>
        <w:rPr>
          <w:rFonts w:ascii="Courier" w:hAnsi="Courier"/>
        </w:rPr>
      </w:pPr>
      <w:r>
        <w:rPr>
          <w:rFonts w:ascii="Courier" w:hAnsi="Courier"/>
        </w:rPr>
        <w:tab/>
        <w:t xml:space="preserve">In Athen stand ein prächtiges </w:t>
      </w:r>
      <w:r>
        <w:rPr>
          <w:rFonts w:ascii="Courier" w:hAnsi="Courier"/>
          <w:i/>
        </w:rPr>
        <w:t>Haus</w:t>
      </w:r>
      <w:r>
        <w:rPr>
          <w:rFonts w:ascii="Courier" w:hAnsi="Courier"/>
        </w:rPr>
        <w:t xml:space="preserve">, </w:t>
      </w:r>
      <w:r>
        <w:rPr>
          <w:rFonts w:ascii="Courier" w:hAnsi="Courier"/>
          <w:b/>
          <w:u w:val="single"/>
        </w:rPr>
        <w:t>&lt;und&gt;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in </w:t>
      </w:r>
      <w:r>
        <w:rPr>
          <w:rFonts w:ascii="Courier" w:hAnsi="Courier"/>
          <w:b/>
          <w:u w:val="single"/>
        </w:rPr>
        <w:t>diesem</w:t>
      </w:r>
      <w:r>
        <w:rPr>
          <w:rFonts w:ascii="Courier" w:hAnsi="Courier"/>
        </w:rPr>
        <w:t xml:space="preserve"> hörte man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um Mitternacht jeweils das Klirren von Eisen.</w:t>
      </w:r>
    </w:p>
    <w:p w:rsidR="004F07D5" w:rsidRDefault="00B87555">
      <w:pPr>
        <w:rPr>
          <w:rFonts w:ascii="Courier" w:hAnsi="Courier"/>
        </w:rPr>
      </w:pPr>
    </w:p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3. Besonders häufig ist der </w:t>
      </w:r>
      <w:r>
        <w:rPr>
          <w:rFonts w:ascii="Courier" w:hAnsi="Courier"/>
          <w:b/>
          <w:u w:val="single"/>
        </w:rPr>
        <w:t>relative Anschluss vor Subjunktionen</w:t>
      </w:r>
      <w:r>
        <w:rPr>
          <w:rFonts w:ascii="Courier" w:hAnsi="Courier"/>
        </w:rPr>
        <w:t xml:space="preserve"> (das Relativpronomen steht dann natürlich an erster Stelle):</w:t>
      </w:r>
    </w:p>
    <w:p w:rsidR="004F07D5" w:rsidRPr="00DB0434" w:rsidRDefault="00B87555">
      <w:pPr>
        <w:rPr>
          <w:rFonts w:ascii="Courier" w:hAnsi="Courier"/>
          <w:sz w:val="20"/>
        </w:rPr>
      </w:pPr>
    </w:p>
    <w:tbl>
      <w:tblPr>
        <w:tblW w:w="0" w:type="auto"/>
        <w:tblInd w:w="8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480"/>
        <w:gridCol w:w="3960"/>
      </w:tblGrid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(...) Qui postquam...</w:t>
            </w:r>
          </w:p>
        </w:tc>
        <w:tc>
          <w:tcPr>
            <w:tcW w:w="3960" w:type="dxa"/>
            <w:tcBorders>
              <w:top w:val="single" w:sz="6" w:space="0" w:color="auto"/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Nachdem &lt;also&gt; dieser/er...</w:t>
            </w:r>
          </w:p>
        </w:tc>
      </w:tr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(...) Qu</w:t>
            </w:r>
            <w:r>
              <w:rPr>
                <w:rFonts w:ascii="Courier" w:hAnsi="Courier"/>
              </w:rPr>
              <w:t>em si...</w:t>
            </w:r>
          </w:p>
        </w:tc>
        <w:tc>
          <w:tcPr>
            <w:tcW w:w="3960" w:type="dxa"/>
            <w:tcBorders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Wenn &lt;nun&gt; diesen/ihn...</w:t>
            </w:r>
          </w:p>
        </w:tc>
      </w:tr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single" w:sz="6" w:space="0" w:color="auto"/>
              <w:bottom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(...) Quae cum...</w:t>
            </w:r>
          </w:p>
        </w:tc>
        <w:tc>
          <w:tcPr>
            <w:tcW w:w="3960" w:type="dxa"/>
            <w:tcBorders>
              <w:bottom w:val="single" w:sz="6" w:space="0" w:color="auto"/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Als &lt;aber&gt; diese/sie...</w:t>
            </w:r>
          </w:p>
        </w:tc>
      </w:tr>
    </w:tbl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 w:rsidP="004F07D5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</w:rPr>
        <w:t>Puellae</w:t>
      </w:r>
      <w:r>
        <w:rPr>
          <w:rFonts w:ascii="Courier" w:hAnsi="Courier"/>
        </w:rPr>
        <w:t xml:space="preserve"> operam dederunt. </w:t>
      </w:r>
      <w:r>
        <w:rPr>
          <w:rFonts w:ascii="Courier" w:hAnsi="Courier"/>
          <w:b/>
          <w:u w:val="single"/>
        </w:rPr>
        <w:t>Quas</w:t>
      </w:r>
      <w:r>
        <w:rPr>
          <w:rFonts w:ascii="Courier" w:hAnsi="Courier"/>
        </w:rPr>
        <w:t xml:space="preserve"> </w:t>
      </w:r>
      <w:r>
        <w:rPr>
          <w:rFonts w:ascii="Courier" w:hAnsi="Courier"/>
          <w:u w:val="single"/>
        </w:rPr>
        <w:t>si</w:t>
      </w:r>
      <w:r>
        <w:rPr>
          <w:rFonts w:ascii="Courier" w:hAnsi="Courier"/>
        </w:rPr>
        <w:t xml:space="preserve"> laudas, delectantur:</w:t>
      </w:r>
    </w:p>
    <w:p w:rsidR="004F07D5" w:rsidRDefault="00B87555" w:rsidP="004F07D5">
      <w:pPr>
        <w:tabs>
          <w:tab w:val="left" w:pos="709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Die Mädchen haben sich Mühe gegeben. Wenn du &lt;nun&gt; diese/sie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lobst, freuen sie sich.</w:t>
      </w:r>
    </w:p>
    <w:p w:rsidR="004F07D5" w:rsidRDefault="00B87555">
      <w:pPr>
        <w:rPr>
          <w:rFonts w:ascii="Courier" w:hAnsi="Courier"/>
        </w:rPr>
      </w:pPr>
    </w:p>
    <w:p w:rsidR="004F07D5" w:rsidRPr="00DB0434" w:rsidRDefault="00B87555">
      <w:pPr>
        <w:rPr>
          <w:rFonts w:ascii="Courier" w:hAnsi="Courier"/>
          <w:sz w:val="20"/>
        </w:rPr>
      </w:pPr>
    </w:p>
    <w:p w:rsidR="004F07D5" w:rsidRDefault="00B87555">
      <w:pPr>
        <w:pBdr>
          <w:bottom w:val="single" w:sz="6" w:space="1" w:color="auto"/>
        </w:pBdr>
        <w:ind w:right="4826"/>
        <w:rPr>
          <w:rFonts w:ascii="Courier" w:hAnsi="Courier"/>
          <w:b/>
        </w:rPr>
      </w:pPr>
      <w:r>
        <w:rPr>
          <w:rFonts w:ascii="Courier" w:hAnsi="Courier"/>
          <w:b/>
        </w:rPr>
        <w:t>4. Weitere häufige Ausdrücke:</w:t>
      </w:r>
    </w:p>
    <w:p w:rsidR="004F07D5" w:rsidRDefault="00B87555">
      <w:pPr>
        <w:rPr>
          <w:rFonts w:ascii="Courier" w:hAnsi="Courier"/>
        </w:rPr>
      </w:pPr>
    </w:p>
    <w:tbl>
      <w:tblPr>
        <w:tblW w:w="0" w:type="auto"/>
        <w:tblInd w:w="8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640"/>
        <w:gridCol w:w="1580"/>
        <w:gridCol w:w="2540"/>
      </w:tblGrid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</w:tcBorders>
          </w:tcPr>
          <w:p w:rsidR="004F07D5" w:rsidRDefault="00B87555">
            <w:pPr>
              <w:tabs>
                <w:tab w:val="left" w:pos="2460"/>
              </w:tabs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q</w:t>
            </w:r>
            <w:r>
              <w:rPr>
                <w:rFonts w:ascii="Courier" w:hAnsi="Courier"/>
              </w:rPr>
              <w:t xml:space="preserve">uam ob rem </w:t>
            </w:r>
            <w:r>
              <w:rPr>
                <w:rFonts w:ascii="Courier" w:hAnsi="Courier"/>
              </w:rPr>
              <w:tab/>
              <w:t>≈ ob eam rem</w:t>
            </w:r>
          </w:p>
        </w:tc>
        <w:tc>
          <w:tcPr>
            <w:tcW w:w="1580" w:type="dxa"/>
            <w:tcBorders>
              <w:top w:val="single" w:sz="6" w:space="0" w:color="auto"/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deswegen</w:t>
            </w:r>
          </w:p>
        </w:tc>
        <w:tc>
          <w:tcPr>
            <w:tcW w:w="2540" w:type="dxa"/>
          </w:tcPr>
          <w:p w:rsidR="004F07D5" w:rsidRDefault="00B87555">
            <w:pPr>
              <w:spacing w:before="40" w:after="40" w:line="300" w:lineRule="atLeast"/>
              <w:ind w:left="-8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(wörtl.:</w:t>
            </w:r>
          </w:p>
        </w:tc>
      </w:tr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0" w:type="dxa"/>
            <w:tcBorders>
              <w:left w:val="single" w:sz="6" w:space="0" w:color="auto"/>
            </w:tcBorders>
          </w:tcPr>
          <w:p w:rsidR="004F07D5" w:rsidRDefault="00B87555">
            <w:pPr>
              <w:tabs>
                <w:tab w:val="left" w:pos="2460"/>
              </w:tabs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quārē (&lt; quā rē)</w:t>
            </w:r>
            <w:r>
              <w:rPr>
                <w:rFonts w:ascii="Courier" w:hAnsi="Courier"/>
              </w:rPr>
              <w:tab/>
              <w:t>≈ eā rē</w:t>
            </w:r>
          </w:p>
        </w:tc>
        <w:tc>
          <w:tcPr>
            <w:tcW w:w="1580" w:type="dxa"/>
            <w:tcBorders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"</w:t>
            </w:r>
          </w:p>
        </w:tc>
        <w:tc>
          <w:tcPr>
            <w:tcW w:w="2540" w:type="dxa"/>
          </w:tcPr>
          <w:p w:rsidR="004F07D5" w:rsidRDefault="00B87555">
            <w:pPr>
              <w:spacing w:before="40" w:after="40" w:line="300" w:lineRule="atLeast"/>
              <w:ind w:left="-8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(wörtl.:</w:t>
            </w:r>
          </w:p>
        </w:tc>
      </w:tr>
      <w:tr w:rsidR="004F0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0" w:type="dxa"/>
            <w:tcBorders>
              <w:left w:val="single" w:sz="6" w:space="0" w:color="auto"/>
              <w:bottom w:val="single" w:sz="6" w:space="0" w:color="auto"/>
            </w:tcBorders>
          </w:tcPr>
          <w:p w:rsidR="004F07D5" w:rsidRDefault="00B87555">
            <w:pPr>
              <w:tabs>
                <w:tab w:val="left" w:pos="2460"/>
              </w:tabs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quā de causā </w:t>
            </w:r>
            <w:r>
              <w:rPr>
                <w:rFonts w:ascii="Courier" w:hAnsi="Courier"/>
              </w:rPr>
              <w:tab/>
              <w:t>≈ de eā causā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</w:tcPr>
          <w:p w:rsidR="004F07D5" w:rsidRDefault="00B87555">
            <w:pPr>
              <w:spacing w:before="40" w:after="40" w:line="30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"</w:t>
            </w:r>
          </w:p>
        </w:tc>
        <w:tc>
          <w:tcPr>
            <w:tcW w:w="2540" w:type="dxa"/>
          </w:tcPr>
          <w:p w:rsidR="004F07D5" w:rsidRDefault="00B87555">
            <w:pPr>
              <w:spacing w:before="40" w:after="40" w:line="300" w:lineRule="atLeast"/>
              <w:ind w:left="-80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(wörtl.:</w:t>
            </w:r>
          </w:p>
        </w:tc>
      </w:tr>
    </w:tbl>
    <w:p w:rsidR="004F07D5" w:rsidRPr="00DB0434" w:rsidRDefault="00B87555">
      <w:pPr>
        <w:rPr>
          <w:rFonts w:ascii="Courier" w:hAnsi="Courier"/>
          <w:sz w:val="16"/>
        </w:rPr>
      </w:pPr>
    </w:p>
    <w:sectPr w:rsidR="004F07D5" w:rsidRPr="00DB0434" w:rsidSect="004F07D5">
      <w:pgSz w:w="11880" w:h="16800"/>
      <w:pgMar w:top="851" w:right="1077" w:bottom="794" w:left="107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4F07D5" w:rsidRDefault="00B87555">
      <w:pPr>
        <w:pStyle w:val="Funotentext"/>
        <w:tabs>
          <w:tab w:val="left" w:pos="300"/>
        </w:tabs>
        <w:ind w:left="220" w:right="-134" w:hanging="220"/>
      </w:pPr>
      <w:r w:rsidRPr="00DB0434">
        <w:rPr>
          <w:rStyle w:val="Funotenzeichen"/>
        </w:rPr>
        <w:footnoteRef/>
      </w:r>
      <w:r>
        <w:rPr>
          <w:rFonts w:ascii="Courier" w:hAnsi="Courier"/>
        </w:rPr>
        <w:tab/>
      </w:r>
      <w:r w:rsidRPr="00DB0434">
        <w:rPr>
          <w:rFonts w:ascii="Courier" w:hAnsi="Courier"/>
          <w:sz w:val="20"/>
        </w:rPr>
        <w:t>Der mit dem relativen Anschluss angefügte Hauptsatz ist eigentlich ein verselbständigter Relativsatz:</w:t>
      </w:r>
      <w:r w:rsidRPr="00DB0434">
        <w:rPr>
          <w:rFonts w:ascii="Courier" w:hAnsi="Courier"/>
          <w:sz w:val="20"/>
        </w:rPr>
        <w:br/>
        <w:t xml:space="preserve">Erat Athenis </w:t>
      </w:r>
      <w:r w:rsidRPr="00DB0434">
        <w:rPr>
          <w:rFonts w:ascii="Courier" w:hAnsi="Courier"/>
          <w:i/>
          <w:sz w:val="20"/>
        </w:rPr>
        <w:t>villa</w:t>
      </w:r>
      <w:r w:rsidRPr="00DB0434">
        <w:rPr>
          <w:rFonts w:ascii="Courier" w:hAnsi="Courier"/>
          <w:sz w:val="20"/>
        </w:rPr>
        <w:t xml:space="preserve">, </w:t>
      </w:r>
      <w:r w:rsidRPr="00DB0434">
        <w:rPr>
          <w:rFonts w:ascii="Courier" w:hAnsi="Courier"/>
          <w:sz w:val="20"/>
          <w:u w:val="single"/>
        </w:rPr>
        <w:t>in quā</w:t>
      </w:r>
      <w:r w:rsidRPr="00DB0434">
        <w:rPr>
          <w:rFonts w:ascii="Courier" w:hAnsi="Courier"/>
          <w:sz w:val="20"/>
        </w:rPr>
        <w:t xml:space="preserve"> s</w:t>
      </w:r>
      <w:r w:rsidRPr="00DB0434">
        <w:rPr>
          <w:rFonts w:ascii="Courier" w:hAnsi="Courier"/>
          <w:sz w:val="20"/>
        </w:rPr>
        <w:t>onus ferri mediā nocte audiebatur:</w:t>
      </w:r>
      <w:r w:rsidRPr="00DB0434">
        <w:rPr>
          <w:rFonts w:ascii="Courier" w:hAnsi="Courier"/>
          <w:sz w:val="20"/>
        </w:rPr>
        <w:br/>
        <w:t>In Athen stand ein Haus, in welchem man um Mitternacht das Klirren von Eisen</w:t>
      </w:r>
      <w:r w:rsidRPr="00DB0434">
        <w:rPr>
          <w:rFonts w:ascii="Courier" w:hAnsi="Courier"/>
          <w:sz w:val="20"/>
          <w:szCs w:val="18"/>
        </w:rPr>
        <w:t>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DB0434"/>
    <w:rsid w:val="00B875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DB0434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14</vt:lpstr>
    </vt:vector>
  </TitlesOfParts>
  <Company>cheironos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14</dc:title>
  <dc:subject/>
  <dc:creator>Theo Wirth</dc:creator>
  <cp:keywords/>
  <cp:lastModifiedBy>Theo Wirth</cp:lastModifiedBy>
  <cp:revision>2</cp:revision>
  <dcterms:created xsi:type="dcterms:W3CDTF">2009-11-09T13:08:00Z</dcterms:created>
  <dcterms:modified xsi:type="dcterms:W3CDTF">2009-11-09T13:08:00Z</dcterms:modified>
</cp:coreProperties>
</file>