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0" w:rsidRDefault="00D91AD1" w:rsidP="00EC46E0">
      <w:pPr>
        <w:pBdr>
          <w:bottom w:val="single" w:sz="12" w:space="2" w:color="auto"/>
        </w:pBdr>
        <w:tabs>
          <w:tab w:val="left" w:pos="1418"/>
          <w:tab w:val="left" w:pos="1700"/>
          <w:tab w:val="left" w:pos="8222"/>
        </w:tabs>
        <w:ind w:right="145"/>
        <w:rPr>
          <w:b/>
        </w:rPr>
      </w:pPr>
      <w:r>
        <w:rPr>
          <w:b/>
        </w:rPr>
        <w:t>§  4.1.3</w:t>
      </w:r>
      <w:r>
        <w:rPr>
          <w:b/>
        </w:rPr>
        <w:tab/>
        <w:t>Das Adjektiv: Allgemeines/</w:t>
      </w:r>
      <w:r>
        <w:rPr>
          <w:b/>
        </w:rPr>
        <w:br/>
      </w:r>
      <w:r>
        <w:rPr>
          <w:b/>
        </w:rPr>
        <w:tab/>
        <w:t xml:space="preserve">die Adjektive der 1./2. Deklination </w:t>
      </w:r>
      <w:r>
        <w:rPr>
          <w:b/>
        </w:rPr>
        <w:tab/>
      </w:r>
      <w:r>
        <w:rPr>
          <w:sz w:val="20"/>
        </w:rPr>
        <w:t>(Ostia 1)</w:t>
      </w:r>
    </w:p>
    <w:p w:rsidR="00EC46E0" w:rsidRDefault="00D91AD1"/>
    <w:p w:rsidR="00EC46E0" w:rsidRDefault="00D91AD1">
      <w:r>
        <w:rPr>
          <w:b/>
          <w:u w:val="single"/>
        </w:rPr>
        <w:t>Funktion</w:t>
      </w:r>
      <w:r>
        <w:t xml:space="preserve"> des Adjektivs: s. "(Zu §§ 4-8) Übersicht über alle Wortar</w:t>
      </w:r>
      <w:r>
        <w:softHyphen/>
        <w:t>ten"; es gibt in der Regel eine Eigenschaft eines Substantivs an. Es bezieht sich also auf dieses Substa</w:t>
      </w:r>
      <w:r>
        <w:t>ntiv.</w:t>
      </w:r>
      <w:r w:rsidRPr="00EC46E0">
        <w:rPr>
          <w:rStyle w:val="Funotenzeichen"/>
        </w:rPr>
        <w:footnoteReference w:id="-1"/>
      </w:r>
    </w:p>
    <w:p w:rsidR="00EC46E0" w:rsidRDefault="00D91AD1"/>
    <w:p w:rsidR="00EC46E0" w:rsidRDefault="00D91AD1">
      <w:r>
        <w:rPr>
          <w:b/>
          <w:u w:val="single"/>
        </w:rPr>
        <w:t>Formen</w:t>
      </w:r>
      <w:r>
        <w:t xml:space="preserve"> des Adjektivs im Lateinischen:</w:t>
      </w:r>
    </w:p>
    <w:p w:rsidR="00EC46E0" w:rsidRDefault="00D91AD1">
      <w:pPr>
        <w:rPr>
          <w:sz w:val="12"/>
          <w:szCs w:val="12"/>
        </w:rPr>
      </w:pPr>
    </w:p>
    <w:p w:rsidR="00EC46E0" w:rsidRDefault="00D91AD1" w:rsidP="00EC46E0">
      <w:pPr>
        <w:tabs>
          <w:tab w:val="left" w:pos="2127"/>
        </w:tabs>
        <w:ind w:left="420" w:hanging="420"/>
      </w:pPr>
      <w:r>
        <w:t>1.</w:t>
      </w:r>
      <w:r>
        <w:tab/>
        <w:t>Es ist stets kongruent mit seinem Bezugssubstantiv in:</w:t>
      </w:r>
    </w:p>
    <w:p w:rsidR="00EC46E0" w:rsidRDefault="00D91AD1" w:rsidP="00EC46E0">
      <w:pPr>
        <w:tabs>
          <w:tab w:val="left" w:pos="2127"/>
        </w:tabs>
        <w:ind w:left="420" w:hanging="420"/>
      </w:pPr>
      <w:r>
        <w:tab/>
        <w:t xml:space="preserve">- </w:t>
      </w:r>
      <w:r>
        <w:rPr>
          <w:b/>
        </w:rPr>
        <w:t>K</w:t>
      </w:r>
      <w:r>
        <w:t>asus</w:t>
      </w:r>
      <w:r>
        <w:tab/>
      </w:r>
      <w:r>
        <w:rPr>
          <w:b/>
        </w:rPr>
        <w:t>K</w:t>
      </w:r>
    </w:p>
    <w:p w:rsidR="00EC46E0" w:rsidRDefault="00D91AD1" w:rsidP="00EC46E0">
      <w:pPr>
        <w:tabs>
          <w:tab w:val="left" w:pos="2127"/>
        </w:tabs>
        <w:ind w:left="420" w:hanging="420"/>
      </w:pPr>
      <w:r>
        <w:tab/>
        <w:t xml:space="preserve">- </w:t>
      </w:r>
      <w:r>
        <w:rPr>
          <w:b/>
        </w:rPr>
        <w:t>N</w:t>
      </w:r>
      <w:r>
        <w:t>umerus</w:t>
      </w:r>
      <w:r>
        <w:tab/>
      </w:r>
      <w:r>
        <w:rPr>
          <w:b/>
        </w:rPr>
        <w:t>N</w:t>
      </w:r>
    </w:p>
    <w:p w:rsidR="00EC46E0" w:rsidRDefault="00D91AD1" w:rsidP="00EC46E0">
      <w:pPr>
        <w:tabs>
          <w:tab w:val="left" w:pos="2127"/>
        </w:tabs>
        <w:ind w:left="420" w:hanging="420"/>
      </w:pPr>
      <w:r>
        <w:tab/>
        <w:t xml:space="preserve">- </w:t>
      </w:r>
      <w:r>
        <w:rPr>
          <w:b/>
        </w:rPr>
        <w:t>G</w:t>
      </w:r>
      <w:r>
        <w:t>enus</w:t>
      </w:r>
      <w:r>
        <w:tab/>
      </w:r>
      <w:r>
        <w:rPr>
          <w:b/>
        </w:rPr>
        <w:t>G</w:t>
      </w:r>
    </w:p>
    <w:p w:rsidR="00EC46E0" w:rsidRPr="00EC46E0" w:rsidRDefault="00D91AD1">
      <w:pPr>
        <w:ind w:left="420" w:hanging="420"/>
        <w:rPr>
          <w:sz w:val="18"/>
        </w:rPr>
      </w:pPr>
    </w:p>
    <w:p w:rsidR="00EC46E0" w:rsidRDefault="00D91AD1" w:rsidP="00EC46E0">
      <w:pPr>
        <w:ind w:left="420" w:right="-198" w:hanging="420"/>
      </w:pPr>
      <w:r>
        <w:t>2.</w:t>
      </w:r>
      <w:r>
        <w:tab/>
        <w:t xml:space="preserve">Wir besprechen jetzt die Adjektive auf </w:t>
      </w:r>
      <w:proofErr w:type="spellStart"/>
      <w:r>
        <w:t>-us,</w:t>
      </w:r>
      <w:proofErr w:type="gramStart"/>
      <w:r>
        <w:t>-</w:t>
      </w:r>
      <w:proofErr w:type="gramEnd"/>
      <w:r>
        <w:t>a,-um</w:t>
      </w:r>
      <w:proofErr w:type="spellEnd"/>
      <w:r>
        <w:t xml:space="preserve">; diese </w:t>
      </w:r>
      <w:proofErr w:type="spellStart"/>
      <w:r>
        <w:t>Adjekti-</w:t>
      </w:r>
      <w:proofErr w:type="spellEnd"/>
      <w:r>
        <w:br/>
      </w:r>
      <w:proofErr w:type="spellStart"/>
      <w:r>
        <w:t>ve</w:t>
      </w:r>
      <w:proofErr w:type="spellEnd"/>
      <w:r>
        <w:t xml:space="preserve"> haben also Formen für alle drei Genera:</w:t>
      </w:r>
      <w:r>
        <w:br/>
        <w:t>- f</w:t>
      </w:r>
      <w:r>
        <w:t xml:space="preserve">ür die maskulinen Formen die gleichen Endungen wie für die </w:t>
      </w:r>
      <w:r>
        <w:br/>
        <w:t xml:space="preserve">  Substantive auf </w:t>
      </w:r>
      <w:proofErr w:type="spellStart"/>
      <w:r>
        <w:t>-us</w:t>
      </w:r>
      <w:proofErr w:type="spellEnd"/>
      <w:r>
        <w:t>,</w:t>
      </w:r>
      <w:r>
        <w:br/>
        <w:t xml:space="preserve">- für die femininen Formen die gleichen wie für </w:t>
      </w:r>
      <w:proofErr w:type="spellStart"/>
      <w:r>
        <w:t>d.Subst</w:t>
      </w:r>
      <w:proofErr w:type="spellEnd"/>
      <w:r>
        <w:t>. auf -a,</w:t>
      </w:r>
      <w:r>
        <w:br/>
        <w:t xml:space="preserve">- für die neutralen Formen die gleichen wie für </w:t>
      </w:r>
      <w:proofErr w:type="spellStart"/>
      <w:r>
        <w:t>d.Subst</w:t>
      </w:r>
      <w:proofErr w:type="spellEnd"/>
      <w:r>
        <w:t>. auf -um.</w:t>
      </w:r>
    </w:p>
    <w:p w:rsidR="00EC46E0" w:rsidRDefault="00D91AD1">
      <w:pPr>
        <w:ind w:left="360" w:hanging="360"/>
      </w:pPr>
    </w:p>
    <w:p w:rsidR="00EC46E0" w:rsidRPr="00EC46E0" w:rsidRDefault="00D91AD1">
      <w:pPr>
        <w:ind w:left="420" w:hanging="420"/>
        <w:rPr>
          <w:sz w:val="18"/>
        </w:rPr>
      </w:pPr>
    </w:p>
    <w:p w:rsidR="00EC46E0" w:rsidRDefault="00D91AD1">
      <w:r>
        <w:t>Die erste Verwendung des Adjektivs als S</w:t>
      </w:r>
      <w:r>
        <w:t>atzglied:</w:t>
      </w:r>
    </w:p>
    <w:p w:rsidR="00EC46E0" w:rsidRDefault="00D91AD1">
      <w:pPr>
        <w:rPr>
          <w:sz w:val="14"/>
          <w:szCs w:val="14"/>
        </w:rPr>
      </w:pPr>
    </w:p>
    <w:p w:rsidR="00EC46E0" w:rsidRDefault="00D91AD1">
      <w:pPr>
        <w:pBdr>
          <w:bottom w:val="single" w:sz="6" w:space="1" w:color="auto"/>
        </w:pBdr>
        <w:ind w:right="1285"/>
        <w:rPr>
          <w:b/>
        </w:rPr>
      </w:pPr>
      <w:r>
        <w:rPr>
          <w:b/>
        </w:rPr>
        <w:t>Das Adjektiv als adjektivisches Prädikatsnomen (PN):</w:t>
      </w:r>
    </w:p>
    <w:p w:rsidR="00EC46E0" w:rsidRDefault="00D91AD1">
      <w:pPr>
        <w:rPr>
          <w:b/>
          <w:i/>
        </w:rPr>
      </w:pPr>
      <w:r>
        <w:rPr>
          <w:i/>
          <w:vanish/>
          <w:sz w:val="20"/>
        </w:rPr>
        <w:t>[von Hand rot: die Wortarten]</w:t>
      </w:r>
    </w:p>
    <w:p w:rsidR="00EC46E0" w:rsidRDefault="00D91AD1" w:rsidP="00EC46E0">
      <w:pPr>
        <w:tabs>
          <w:tab w:val="left" w:pos="709"/>
          <w:tab w:val="left" w:pos="3828"/>
          <w:tab w:val="left" w:pos="5245"/>
        </w:tabs>
        <w:rPr>
          <w:b/>
          <w:sz w:val="20"/>
        </w:rPr>
      </w:pPr>
      <w:r>
        <w:rPr>
          <w:sz w:val="20"/>
        </w:rPr>
        <w:tab/>
      </w:r>
      <w:r>
        <w:rPr>
          <w:i/>
          <w:vanish/>
          <w:color w:val="FF0000"/>
          <w:sz w:val="20"/>
        </w:rPr>
        <w:t>Substantiv</w:t>
      </w:r>
      <w:r>
        <w:rPr>
          <w:i/>
          <w:color w:val="FF0000"/>
          <w:sz w:val="20"/>
        </w:rPr>
        <w:tab/>
      </w:r>
      <w:r w:rsidRPr="00EC46E0">
        <w:rPr>
          <w:i/>
          <w:vanish/>
          <w:color w:val="FF0000"/>
          <w:sz w:val="20"/>
        </w:rPr>
        <w:t>Adjektiv</w:t>
      </w:r>
      <w:r w:rsidRPr="00EC46E0">
        <w:rPr>
          <w:i/>
          <w:color w:val="FF0000"/>
          <w:sz w:val="20"/>
        </w:rPr>
        <w:tab/>
      </w:r>
      <w:r>
        <w:rPr>
          <w:i/>
          <w:vanish/>
          <w:color w:val="FF0000"/>
          <w:sz w:val="20"/>
        </w:rPr>
        <w:t>Hilfsverb</w:t>
      </w:r>
    </w:p>
    <w:p w:rsidR="00EC46E0" w:rsidRDefault="00D91AD1" w:rsidP="00EC46E0">
      <w:pPr>
        <w:tabs>
          <w:tab w:val="left" w:pos="709"/>
          <w:tab w:val="left" w:pos="3544"/>
          <w:tab w:val="left" w:pos="7088"/>
        </w:tabs>
        <w:rPr>
          <w:b/>
          <w:color w:val="FF0000"/>
        </w:rPr>
      </w:pPr>
      <w:r>
        <w:rPr>
          <w:b/>
        </w:rPr>
        <w:tab/>
      </w:r>
      <w:r>
        <w:rPr>
          <w:position w:val="-4"/>
        </w:rPr>
        <w:object w:dxaOrig="136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5.35pt" o:ole="" o:bordertopcolor="lime" o:borderleftcolor="lime" o:borderbottomcolor="red" o:borderrightcolor="red">
            <v:imagedata r:id="rId5" r:pict="rId6" o:title=""/>
            <w10:bordertop/>
            <w10:borderleft/>
            <w10:borderbottom/>
            <w10:borderright/>
          </v:shape>
          <o:OLEObject Type="Embed" ProgID="Equation.3" ShapeID="_x0000_i1025" DrawAspect="Content" ObjectID="_1195416311" r:id="rId7">
            <o:FieldCodes>\* mergeformat</o:FieldCodes>
          </o:OLEObject>
        </w:object>
      </w:r>
      <w:r>
        <w:rPr>
          <w:b/>
        </w:rPr>
        <w:tab/>
      </w:r>
      <w:r>
        <w:rPr>
          <w:position w:val="-4"/>
        </w:rPr>
        <w:object w:dxaOrig="2580" w:dyaOrig="480">
          <v:shape id="_x0000_i1026" type="#_x0000_t75" style="width:129.35pt;height:24pt" o:ole="" o:bordertopcolor="lime" o:borderleftcolor="lime" o:borderbottomcolor="red" o:borderrightcolor="red">
            <v:imagedata r:id="rId8" r:pict="rId9" o:title=""/>
            <w10:bordertop/>
            <w10:borderleft/>
            <w10:borderbottom/>
            <w10:borderright/>
          </v:shape>
          <o:OLEObject Type="Embed" ProgID="Equation.3" ShapeID="_x0000_i1026" DrawAspect="Content" ObjectID="_1195416312" r:id="rId10">
            <o:FieldCodes>\* mergeformat</o:FieldCodes>
          </o:OLEObject>
        </w:object>
      </w:r>
      <w:r>
        <w:rPr>
          <w:b/>
        </w:rPr>
        <w:tab/>
      </w:r>
      <w:r>
        <w:rPr>
          <w:i/>
          <w:vanish/>
          <w:sz w:val="20"/>
        </w:rPr>
        <w:t xml:space="preserve">Endung </w:t>
      </w:r>
      <w:r>
        <w:rPr>
          <w:i/>
          <w:vanish/>
          <w:color w:val="FF0000"/>
          <w:sz w:val="20"/>
        </w:rPr>
        <w:t>rot: um</w:t>
      </w:r>
    </w:p>
    <w:p w:rsidR="00EC46E0" w:rsidRDefault="00D91AD1" w:rsidP="00EC46E0">
      <w:pPr>
        <w:tabs>
          <w:tab w:val="left" w:pos="709"/>
        </w:tabs>
        <w:rPr>
          <w:b/>
        </w:rPr>
      </w:pPr>
    </w:p>
    <w:p w:rsidR="00EC46E0" w:rsidRDefault="00D91AD1" w:rsidP="00EC46E0">
      <w:pPr>
        <w:tabs>
          <w:tab w:val="left" w:pos="709"/>
        </w:tabs>
        <w:rPr>
          <w:b/>
        </w:rPr>
      </w:pPr>
    </w:p>
    <w:p w:rsidR="00EC46E0" w:rsidRDefault="00D91AD1" w:rsidP="00EC46E0">
      <w:pPr>
        <w:tabs>
          <w:tab w:val="left" w:pos="709"/>
        </w:tabs>
        <w:rPr>
          <w:b/>
        </w:rPr>
      </w:pPr>
    </w:p>
    <w:p w:rsidR="00EC46E0" w:rsidRDefault="00D91AD1" w:rsidP="00EC46E0">
      <w:pPr>
        <w:tabs>
          <w:tab w:val="left" w:pos="709"/>
          <w:tab w:val="left" w:pos="3544"/>
          <w:tab w:val="left" w:pos="7088"/>
        </w:tabs>
        <w:rPr>
          <w:i/>
          <w:vanish/>
          <w:sz w:val="20"/>
        </w:rPr>
      </w:pPr>
      <w:r>
        <w:rPr>
          <w:b/>
        </w:rPr>
        <w:tab/>
      </w:r>
      <w:r>
        <w:rPr>
          <w:position w:val="-30"/>
        </w:rPr>
        <w:object w:dxaOrig="1200" w:dyaOrig="500">
          <v:shape id="_x0000_i1027" type="#_x0000_t75" style="width:60pt;height:25.35pt" o:ole="" o:bordertopcolor="lime" o:borderleftcolor="lime" o:borderbottomcolor="red" o:borderrightcolor="red">
            <v:imagedata r:id="rId11" r:pict="rId12" o:title=""/>
            <w10:bordertop/>
            <w10:borderleft/>
            <w10:borderbottom/>
            <w10:borderright/>
          </v:shape>
          <o:OLEObject Type="Embed" ProgID="Equation.3" ShapeID="_x0000_i1027" DrawAspect="Content" ObjectID="_1195416313" r:id="rId13">
            <o:FieldCodes>\* mergeformat</o:FieldCodes>
          </o:OLEObject>
        </w:object>
      </w:r>
      <w:r>
        <w:rPr>
          <w:position w:val="-30"/>
        </w:rPr>
        <w:tab/>
      </w:r>
      <w:r>
        <w:rPr>
          <w:position w:val="-30"/>
        </w:rPr>
        <w:object w:dxaOrig="2580" w:dyaOrig="500">
          <v:shape id="_x0000_i1028" type="#_x0000_t75" style="width:129.35pt;height:25.35pt" o:ole="" o:bordertopcolor="lime" o:borderleftcolor="lime" o:borderbottomcolor="red" o:borderrightcolor="red">
            <v:imagedata r:id="rId14" r:pict="rId15" o:title=""/>
            <w10:bordertop/>
            <w10:borderleft/>
            <w10:borderbottom/>
            <w10:borderright/>
          </v:shape>
          <o:OLEObject Type="Embed" ProgID="Equation.3" ShapeID="_x0000_i1028" DrawAspect="Content" ObjectID="_1195416314" r:id="rId16">
            <o:FieldCodes>\* mergeformat</o:FieldCodes>
          </o:OLEObject>
        </w:object>
      </w:r>
      <w:r>
        <w:rPr>
          <w:b/>
        </w:rPr>
        <w:tab/>
      </w:r>
      <w:r>
        <w:rPr>
          <w:i/>
          <w:vanish/>
          <w:sz w:val="20"/>
        </w:rPr>
        <w:t xml:space="preserve">Endung </w:t>
      </w:r>
      <w:r>
        <w:rPr>
          <w:i/>
          <w:vanish/>
          <w:color w:val="FF0000"/>
          <w:sz w:val="20"/>
        </w:rPr>
        <w:t>rot: a</w:t>
      </w:r>
    </w:p>
    <w:p w:rsidR="00EC46E0" w:rsidRDefault="00D91AD1" w:rsidP="00EC46E0">
      <w:pPr>
        <w:tabs>
          <w:tab w:val="left" w:pos="851"/>
          <w:tab w:val="left" w:pos="3261"/>
          <w:tab w:val="left" w:pos="5387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vanish/>
          <w:color w:val="00FF00"/>
          <w:sz w:val="20"/>
        </w:rPr>
        <w:t>Subjekt</w:t>
      </w:r>
      <w:r>
        <w:rPr>
          <w:i/>
          <w:sz w:val="20"/>
        </w:rPr>
        <w:tab/>
      </w:r>
      <w:r>
        <w:rPr>
          <w:i/>
          <w:vanish/>
          <w:color w:val="00FF00"/>
          <w:sz w:val="20"/>
        </w:rPr>
        <w:t>adjektivisches</w:t>
      </w:r>
      <w:r>
        <w:rPr>
          <w:i/>
          <w:sz w:val="20"/>
        </w:rPr>
        <w:tab/>
      </w:r>
      <w:r>
        <w:rPr>
          <w:i/>
          <w:vanish/>
          <w:color w:val="00FF00"/>
          <w:sz w:val="20"/>
        </w:rPr>
        <w:t>Kopula</w:t>
      </w:r>
      <w:r>
        <w:rPr>
          <w:i/>
          <w:sz w:val="20"/>
        </w:rPr>
        <w:br/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i/>
          <w:vanish/>
          <w:color w:val="00FF00"/>
          <w:sz w:val="20"/>
        </w:rPr>
        <w:t>Prädikatsnomen</w:t>
      </w:r>
    </w:p>
    <w:p w:rsidR="00EC46E0" w:rsidRDefault="00D91AD1" w:rsidP="00EC46E0">
      <w:pPr>
        <w:tabs>
          <w:tab w:val="left" w:pos="70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position w:val="-30"/>
        </w:rPr>
        <w:object w:dxaOrig="2660" w:dyaOrig="500">
          <v:shape id="_x0000_i1029" type="#_x0000_t75" style="width:133.35pt;height:25.35pt" o:ole="" o:bordertopcolor="lime" o:borderleftcolor="lime" o:borderbottomcolor="red" o:borderrightcolor="red">
            <v:imagedata r:id="rId17" r:pict="rId18" o:title=""/>
            <w10:bordertop/>
            <w10:borderleft/>
            <w10:borderbottom/>
            <w10:borderright/>
          </v:shape>
          <o:OLEObject Type="Embed" ProgID="Equation.3" ShapeID="_x0000_i1029" DrawAspect="Content" ObjectID="_1195416315" r:id="rId19">
            <o:FieldCodes>\* mergeformat</o:FieldCodes>
          </o:OLEObject>
        </w:object>
      </w:r>
    </w:p>
    <w:p w:rsidR="00EC46E0" w:rsidRDefault="00D91AD1" w:rsidP="00EC46E0">
      <w:pPr>
        <w:tabs>
          <w:tab w:val="left" w:pos="709"/>
        </w:tabs>
        <w:rPr>
          <w:b/>
          <w:i/>
          <w:sz w:val="20"/>
        </w:rPr>
      </w:pPr>
      <w:r>
        <w:rPr>
          <w:i/>
          <w:vanish/>
          <w:sz w:val="20"/>
        </w:rPr>
        <w:t>[von Hand grün: die Satzglieder]</w:t>
      </w:r>
      <w:r>
        <w:rPr>
          <w:i/>
          <w:sz w:val="20"/>
        </w:rPr>
        <w:tab/>
      </w:r>
      <w:r>
        <w:rPr>
          <w:i/>
          <w:vanish/>
          <w:color w:val="00FF00"/>
          <w:sz w:val="20"/>
        </w:rPr>
        <w:t>zusammengesetztes Prädikat</w:t>
      </w:r>
    </w:p>
    <w:p w:rsidR="00EC46E0" w:rsidRDefault="00D91AD1" w:rsidP="00EC46E0">
      <w:pPr>
        <w:tabs>
          <w:tab w:val="left" w:pos="709"/>
        </w:tabs>
        <w:rPr>
          <w:b/>
        </w:rPr>
      </w:pPr>
    </w:p>
    <w:p w:rsidR="00EC46E0" w:rsidRDefault="00D91AD1" w:rsidP="00EC46E0">
      <w:pPr>
        <w:tabs>
          <w:tab w:val="left" w:pos="709"/>
          <w:tab w:val="left" w:pos="3544"/>
        </w:tabs>
      </w:pPr>
      <w:r>
        <w:rPr>
          <w:b/>
        </w:rPr>
        <w:tab/>
      </w:r>
      <w:r>
        <w:t>Der Wagen</w:t>
      </w:r>
      <w:r>
        <w:tab/>
        <w:t>ist  beladen</w:t>
      </w:r>
      <w:r>
        <w:rPr>
          <w:u w:val="single"/>
        </w:rPr>
        <w:t>.</w:t>
      </w:r>
      <w:r>
        <w:t xml:space="preserve">  </w:t>
      </w:r>
      <w:r>
        <w:rPr>
          <w:i/>
        </w:rPr>
        <w:t>keine Endung!</w:t>
      </w:r>
    </w:p>
    <w:p w:rsidR="00EC46E0" w:rsidRDefault="00D91AD1" w:rsidP="00EC46E0">
      <w:pPr>
        <w:tabs>
          <w:tab w:val="left" w:pos="709"/>
          <w:tab w:val="left" w:pos="3544"/>
        </w:tabs>
      </w:pPr>
      <w:r>
        <w:tab/>
        <w:t>Di</w:t>
      </w:r>
      <w:r>
        <w:t>e Wagen</w:t>
      </w:r>
      <w:r>
        <w:tab/>
        <w:t>sind beladen</w:t>
      </w:r>
      <w:r>
        <w:rPr>
          <w:u w:val="single"/>
        </w:rPr>
        <w:t>.</w:t>
      </w:r>
      <w:r>
        <w:t xml:space="preserve">  </w:t>
      </w:r>
      <w:r>
        <w:rPr>
          <w:i/>
        </w:rPr>
        <w:t>keine Endung!</w:t>
      </w:r>
    </w:p>
    <w:p w:rsidR="00EC46E0" w:rsidRDefault="00D91AD1">
      <w:pPr>
        <w:rPr>
          <w:b/>
        </w:rPr>
      </w:pPr>
    </w:p>
    <w:p w:rsidR="00EC46E0" w:rsidRPr="00EC46E0" w:rsidRDefault="00D91AD1">
      <w:pPr>
        <w:ind w:left="420" w:hanging="420"/>
        <w:rPr>
          <w:sz w:val="18"/>
        </w:rPr>
      </w:pPr>
    </w:p>
    <w:p w:rsidR="00EC46E0" w:rsidRDefault="00D91AD1">
      <w:r>
        <w:rPr>
          <w:u w:val="single"/>
        </w:rPr>
        <w:t>Merke:</w:t>
      </w:r>
      <w:r>
        <w:t xml:space="preserve"> </w:t>
      </w:r>
    </w:p>
    <w:p w:rsidR="00EC46E0" w:rsidRDefault="00D91AD1">
      <w:pPr>
        <w:ind w:left="420" w:hanging="420"/>
        <w:rPr>
          <w:sz w:val="12"/>
          <w:szCs w:val="12"/>
        </w:rPr>
      </w:pPr>
    </w:p>
    <w:p w:rsidR="00EC46E0" w:rsidRDefault="00D91AD1">
      <w:pPr>
        <w:ind w:left="420" w:hanging="420"/>
      </w:pPr>
      <w:r>
        <w:t>1.</w:t>
      </w:r>
      <w:r>
        <w:tab/>
      </w:r>
      <w:r>
        <w:rPr>
          <w:u w:val="single"/>
        </w:rPr>
        <w:t xml:space="preserve">Im </w:t>
      </w:r>
      <w:proofErr w:type="spellStart"/>
      <w:r>
        <w:rPr>
          <w:u w:val="single"/>
        </w:rPr>
        <w:t>Lat</w:t>
      </w:r>
      <w:proofErr w:type="spellEnd"/>
      <w:r>
        <w:rPr>
          <w:u w:val="single"/>
        </w:rPr>
        <w:t xml:space="preserve">. ist das </w:t>
      </w:r>
      <w:proofErr w:type="spellStart"/>
      <w:r>
        <w:rPr>
          <w:u w:val="single"/>
        </w:rPr>
        <w:t>adj</w:t>
      </w:r>
      <w:proofErr w:type="spellEnd"/>
      <w:r>
        <w:rPr>
          <w:u w:val="single"/>
        </w:rPr>
        <w:t>. PN immer mit dem Subjekt in KNG kongruent</w:t>
      </w:r>
      <w:r>
        <w:br/>
        <w:t>(s. oben "Form"), es steht also</w:t>
      </w:r>
      <w:r>
        <w:br/>
        <w:t>- immer im Nominativ</w:t>
      </w:r>
      <w:r>
        <w:br/>
        <w:t>- im Singular oder Plural</w:t>
      </w:r>
      <w:r>
        <w:br/>
        <w:t>- im Maskulin, Feminin oder Neutrum.</w:t>
      </w:r>
    </w:p>
    <w:p w:rsidR="00EC46E0" w:rsidRPr="00EC46E0" w:rsidRDefault="00D91AD1">
      <w:pPr>
        <w:ind w:left="420" w:hanging="420"/>
        <w:rPr>
          <w:sz w:val="18"/>
        </w:rPr>
      </w:pPr>
    </w:p>
    <w:p w:rsidR="00EC46E0" w:rsidRDefault="00D91AD1">
      <w:pPr>
        <w:ind w:left="420" w:hanging="420"/>
      </w:pPr>
      <w:r>
        <w:t>2.</w:t>
      </w:r>
      <w:r>
        <w:tab/>
      </w:r>
      <w:r>
        <w:rPr>
          <w:u w:val="single"/>
        </w:rPr>
        <w:t xml:space="preserve">Aber im Deutschen hat </w:t>
      </w:r>
      <w:r>
        <w:rPr>
          <w:u w:val="single"/>
        </w:rPr>
        <w:t xml:space="preserve">das </w:t>
      </w:r>
      <w:proofErr w:type="spellStart"/>
      <w:r>
        <w:rPr>
          <w:u w:val="single"/>
        </w:rPr>
        <w:t>adj</w:t>
      </w:r>
      <w:proofErr w:type="spellEnd"/>
      <w:r>
        <w:rPr>
          <w:u w:val="single"/>
        </w:rPr>
        <w:t>. PN keine Endung und lautet daher immer gleich.</w:t>
      </w:r>
    </w:p>
    <w:p w:rsidR="00EC46E0" w:rsidRDefault="00D91AD1">
      <w:pPr>
        <w:ind w:left="420" w:hanging="420"/>
        <w:rPr>
          <w:sz w:val="12"/>
          <w:szCs w:val="12"/>
        </w:rPr>
      </w:pPr>
    </w:p>
    <w:p w:rsidR="00EC46E0" w:rsidRDefault="00D91AD1">
      <w:pPr>
        <w:ind w:left="420"/>
        <w:rPr>
          <w:sz w:val="20"/>
        </w:rPr>
      </w:pPr>
      <w:r>
        <w:rPr>
          <w:sz w:val="20"/>
        </w:rPr>
        <w:t>Gewisse Schweizer Dialekte kennen die Kongruenz:</w:t>
      </w:r>
    </w:p>
    <w:p w:rsidR="00EC46E0" w:rsidRDefault="00D91AD1" w:rsidP="00EC46E0">
      <w:pPr>
        <w:tabs>
          <w:tab w:val="left" w:pos="709"/>
        </w:tabs>
        <w:ind w:left="420"/>
        <w:rPr>
          <w:sz w:val="20"/>
        </w:rPr>
      </w:pPr>
      <w:r>
        <w:rPr>
          <w:sz w:val="20"/>
        </w:rPr>
        <w:tab/>
        <w:t>"</w:t>
      </w:r>
      <w:proofErr w:type="spellStart"/>
      <w:r>
        <w:rPr>
          <w:sz w:val="20"/>
        </w:rPr>
        <w:t>Dr</w:t>
      </w:r>
      <w:proofErr w:type="spellEnd"/>
      <w:r>
        <w:rPr>
          <w:sz w:val="20"/>
        </w:rPr>
        <w:t xml:space="preserve"> Wage </w:t>
      </w:r>
      <w:proofErr w:type="spellStart"/>
      <w:r>
        <w:rPr>
          <w:sz w:val="20"/>
        </w:rPr>
        <w:t>isch</w:t>
      </w:r>
      <w:proofErr w:type="spellEnd"/>
      <w:r>
        <w:rPr>
          <w:sz w:val="20"/>
        </w:rPr>
        <w:t xml:space="preserve"> beladne." statt: "</w:t>
      </w:r>
      <w:proofErr w:type="spellStart"/>
      <w:r>
        <w:rPr>
          <w:sz w:val="20"/>
        </w:rPr>
        <w:t>Dr</w:t>
      </w:r>
      <w:proofErr w:type="spellEnd"/>
      <w:r>
        <w:rPr>
          <w:sz w:val="20"/>
        </w:rPr>
        <w:t xml:space="preserve"> Wage </w:t>
      </w:r>
      <w:proofErr w:type="spellStart"/>
      <w:r>
        <w:rPr>
          <w:sz w:val="20"/>
        </w:rPr>
        <w:t>isch</w:t>
      </w:r>
      <w:proofErr w:type="spellEnd"/>
      <w:r>
        <w:rPr>
          <w:sz w:val="20"/>
        </w:rPr>
        <w:t xml:space="preserve"> belade."</w:t>
      </w:r>
    </w:p>
    <w:p w:rsidR="00EC46E0" w:rsidRDefault="00D91AD1" w:rsidP="00EC46E0">
      <w:pPr>
        <w:tabs>
          <w:tab w:val="left" w:pos="709"/>
        </w:tabs>
        <w:ind w:left="420"/>
        <w:rPr>
          <w:sz w:val="20"/>
        </w:rPr>
      </w:pPr>
      <w:r>
        <w:rPr>
          <w:sz w:val="20"/>
        </w:rPr>
        <w:tab/>
        <w:t xml:space="preserve">"D' Wäge sind </w:t>
      </w:r>
      <w:proofErr w:type="spellStart"/>
      <w:r>
        <w:rPr>
          <w:sz w:val="20"/>
        </w:rPr>
        <w:t>beladni</w:t>
      </w:r>
      <w:proofErr w:type="spellEnd"/>
      <w:r>
        <w:rPr>
          <w:sz w:val="20"/>
        </w:rPr>
        <w:t>." statt: "D' Wäge sind belade."</w:t>
      </w:r>
    </w:p>
    <w:p w:rsidR="00EC46E0" w:rsidRDefault="00D91AD1">
      <w:pPr>
        <w:ind w:left="420"/>
        <w:rPr>
          <w:b/>
          <w:u w:val="single"/>
        </w:rPr>
      </w:pPr>
      <w:r>
        <w:rPr>
          <w:sz w:val="20"/>
        </w:rPr>
        <w:t>Das Französische hat die Kongruenz vom L</w:t>
      </w:r>
      <w:r>
        <w:rPr>
          <w:sz w:val="20"/>
        </w:rPr>
        <w:t>ateinischen geerbt.</w:t>
      </w:r>
    </w:p>
    <w:sectPr w:rsidR="00EC46E0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C46E0" w:rsidRDefault="00D91AD1">
      <w:pPr>
        <w:pStyle w:val="Funotentext"/>
      </w:pPr>
      <w:r w:rsidRPr="00EC46E0">
        <w:rPr>
          <w:rStyle w:val="Funotenzeichen"/>
        </w:rPr>
        <w:footnoteRef/>
      </w:r>
      <w:r>
        <w:t xml:space="preserve"> </w:t>
      </w:r>
      <w:r w:rsidRPr="00EC46E0">
        <w:rPr>
          <w:sz w:val="20"/>
        </w:rPr>
        <w:t>Substantivierung der Adjektive: s. "Ostia" I, 171 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EC46E0"/>
    <w:rsid w:val="00D91A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EC46E0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7.png"/><Relationship Id="rId20" Type="http://schemas.openxmlformats.org/officeDocument/2006/relationships/fontTable" Target="fontTable.xml"/><Relationship Id="rId4" Type="http://schemas.openxmlformats.org/officeDocument/2006/relationships/footnotes" Target="footnot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pict"/><Relationship Id="rId16" Type="http://schemas.openxmlformats.org/officeDocument/2006/relationships/oleObject" Target="embeddings/oleObject4.bin"/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19" Type="http://schemas.openxmlformats.org/officeDocument/2006/relationships/oleObject" Target="embeddings/oleObject5.bin"/><Relationship Id="rId2" Type="http://schemas.openxmlformats.org/officeDocument/2006/relationships/settings" Target="settings.xml"/><Relationship Id="rId9" Type="http://schemas.openxmlformats.org/officeDocument/2006/relationships/image" Target="media/image4.pict"/><Relationship Id="rId3" Type="http://schemas.openxmlformats.org/officeDocument/2006/relationships/webSettings" Target="webSettings.xml"/><Relationship Id="rId18" Type="http://schemas.openxmlformats.org/officeDocument/2006/relationships/image" Target="media/image10.pict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 4</vt:lpstr>
    </vt:vector>
  </TitlesOfParts>
  <Company>cheironos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4</dc:title>
  <dc:subject/>
  <dc:creator>Theo Wirth</dc:creator>
  <cp:keywords/>
  <cp:lastModifiedBy>Theo Wirth</cp:lastModifiedBy>
  <cp:revision>2</cp:revision>
  <cp:lastPrinted>2009-12-05T22:08:00Z</cp:lastPrinted>
  <dcterms:created xsi:type="dcterms:W3CDTF">2009-12-05T22:19:00Z</dcterms:created>
  <dcterms:modified xsi:type="dcterms:W3CDTF">2009-12-05T22:19:00Z</dcterms:modified>
</cp:coreProperties>
</file>