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66" w:rsidRDefault="00A50914" w:rsidP="00B65D66">
      <w:pPr>
        <w:pBdr>
          <w:bottom w:val="single" w:sz="12" w:space="2" w:color="auto"/>
        </w:pBdr>
        <w:tabs>
          <w:tab w:val="left" w:pos="1276"/>
          <w:tab w:val="left" w:pos="8647"/>
        </w:tabs>
        <w:ind w:right="-275"/>
        <w:rPr>
          <w:rFonts w:ascii="Courier" w:hAnsi="Courier"/>
          <w:b/>
        </w:rPr>
      </w:pPr>
      <w:r>
        <w:rPr>
          <w:rFonts w:ascii="Courier" w:hAnsi="Courier"/>
          <w:b/>
        </w:rPr>
        <w:t>§ 5.2.1</w:t>
      </w:r>
      <w:r>
        <w:rPr>
          <w:rFonts w:ascii="Courier" w:hAnsi="Courier"/>
          <w:b/>
        </w:rPr>
        <w:tab/>
        <w:t>esse: Infinitiv, Indikativ Präsens, Imperativ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4)</w:t>
      </w:r>
    </w:p>
    <w:p w:rsidR="00B65D66" w:rsidRDefault="00A50914">
      <w:pPr>
        <w:rPr>
          <w:rFonts w:ascii="Courier" w:hAnsi="Courier"/>
        </w:rPr>
      </w:pPr>
    </w:p>
    <w:p w:rsidR="00B65D66" w:rsidRDefault="00A50914" w:rsidP="00B65D66">
      <w:pPr>
        <w:spacing w:before="120"/>
        <w:rPr>
          <w:rFonts w:ascii="Courier" w:hAnsi="Courier"/>
        </w:rPr>
      </w:pPr>
      <w:r>
        <w:rPr>
          <w:rFonts w:ascii="Courier" w:hAnsi="Courier"/>
        </w:rPr>
        <w:t>s. Ostia I, S. 164, Punkt 4.2.</w:t>
      </w:r>
    </w:p>
    <w:p w:rsidR="00B65D66" w:rsidRDefault="00A50914" w:rsidP="00B65D66">
      <w:pPr>
        <w:spacing w:before="120"/>
        <w:rPr>
          <w:rFonts w:ascii="Courier" w:hAnsi="Courier"/>
        </w:rPr>
      </w:pPr>
    </w:p>
    <w:p w:rsidR="00B65D66" w:rsidRDefault="00A50914">
      <w:pPr>
        <w:spacing w:before="240"/>
        <w:rPr>
          <w:rFonts w:ascii="Courier" w:hAnsi="Courier"/>
        </w:rPr>
      </w:pPr>
      <w:r>
        <w:rPr>
          <w:rFonts w:ascii="Courier" w:hAnsi="Courier"/>
          <w:b/>
          <w:u w:val="single"/>
        </w:rPr>
        <w:t>Merke: Zwei wichtige Lauterscheinungen</w:t>
      </w:r>
    </w:p>
    <w:p w:rsidR="00B65D66" w:rsidRDefault="00A50914">
      <w:pPr>
        <w:tabs>
          <w:tab w:val="left" w:pos="300"/>
          <w:tab w:val="left" w:pos="1600"/>
        </w:tabs>
        <w:spacing w:before="24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Ablaut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 xml:space="preserve">regelmässiger Wechsel des Vokals im </w:t>
      </w:r>
      <w:r>
        <w:rPr>
          <w:rFonts w:ascii="Courier" w:hAnsi="Courier"/>
          <w:i/>
        </w:rPr>
        <w:t>Stamm</w:t>
      </w:r>
      <w:r>
        <w:rPr>
          <w:rFonts w:ascii="Courier" w:hAnsi="Courier"/>
        </w:rPr>
        <w:t xml:space="preserve"> eines Wortes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(ein Kennzeichen der indoeuropäischen Sprachen).</w:t>
      </w:r>
    </w:p>
    <w:p w:rsidR="00B65D66" w:rsidRDefault="00A50914">
      <w:pPr>
        <w:tabs>
          <w:tab w:val="left" w:pos="300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  <w:t xml:space="preserve">Es </w:t>
      </w:r>
      <w:r>
        <w:rPr>
          <w:rFonts w:ascii="Courier" w:hAnsi="Courier"/>
        </w:rPr>
        <w:t>existieren zwei Typen des Ablauts:</w:t>
      </w:r>
    </w:p>
    <w:p w:rsidR="00B65D66" w:rsidRDefault="00A50914" w:rsidP="00B65D66">
      <w:pPr>
        <w:tabs>
          <w:tab w:val="left" w:pos="300"/>
          <w:tab w:val="left" w:pos="709"/>
          <w:tab w:val="left" w:pos="2268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- </w:t>
      </w:r>
      <w:r>
        <w:rPr>
          <w:rFonts w:ascii="Courier" w:hAnsi="Courier"/>
          <w:i/>
        </w:rPr>
        <w:t>qualitativer</w:t>
      </w:r>
      <w:r>
        <w:rPr>
          <w:rFonts w:ascii="Courier" w:hAnsi="Courier"/>
        </w:rPr>
        <w:t xml:space="preserve"> Ablaut  (die </w:t>
      </w:r>
      <w:r>
        <w:rPr>
          <w:rFonts w:ascii="Courier" w:hAnsi="Courier"/>
          <w:i/>
        </w:rPr>
        <w:t>Art</w:t>
      </w:r>
      <w:r w:rsidRPr="00B65D66">
        <w:rPr>
          <w:rStyle w:val="Funotenzeichen"/>
        </w:rPr>
        <w:footnoteReference w:id="-1"/>
      </w:r>
      <w:r>
        <w:rPr>
          <w:rFonts w:ascii="Courier" w:hAnsi="Courier"/>
        </w:rPr>
        <w:t xml:space="preserve"> des Vokals ist verschieden):</w:t>
      </w:r>
    </w:p>
    <w:p w:rsidR="00B65D66" w:rsidRDefault="00A50914" w:rsidP="00B65D66">
      <w:pPr>
        <w:tabs>
          <w:tab w:val="left" w:pos="300"/>
          <w:tab w:val="left" w:pos="709"/>
          <w:tab w:val="left" w:pos="2268"/>
          <w:tab w:val="left" w:pos="5670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Bsp: wir s</w:t>
      </w:r>
      <w:r>
        <w:rPr>
          <w:rFonts w:ascii="Courier" w:hAnsi="Courier"/>
          <w:i/>
          <w:u w:val="single"/>
        </w:rPr>
        <w:t>i</w:t>
      </w:r>
      <w:r>
        <w:rPr>
          <w:rFonts w:ascii="Courier" w:hAnsi="Courier"/>
        </w:rPr>
        <w:t>ngen &lt;-&gt; wir s</w:t>
      </w:r>
      <w:r>
        <w:rPr>
          <w:rFonts w:ascii="Courier" w:hAnsi="Courier"/>
          <w:i/>
          <w:u w:val="single"/>
        </w:rPr>
        <w:t>a</w:t>
      </w:r>
      <w:r>
        <w:rPr>
          <w:rFonts w:ascii="Courier" w:hAnsi="Courier"/>
        </w:rPr>
        <w:t>ngen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</w:t>
      </w:r>
      <w:r>
        <w:rPr>
          <w:rFonts w:ascii="Courier" w:hAnsi="Courier"/>
          <w:i/>
          <w:sz w:val="20"/>
        </w:rPr>
        <w:t>-i-</w:t>
      </w:r>
      <w:r>
        <w:rPr>
          <w:rFonts w:ascii="Courier" w:hAnsi="Courier"/>
          <w:sz w:val="20"/>
        </w:rPr>
        <w:t xml:space="preserve"> &lt;-&gt; </w:t>
      </w:r>
      <w:r>
        <w:rPr>
          <w:rFonts w:ascii="Courier" w:hAnsi="Courier"/>
          <w:i/>
          <w:sz w:val="20"/>
        </w:rPr>
        <w:t>-a-</w:t>
      </w:r>
      <w:r>
        <w:rPr>
          <w:rFonts w:ascii="Courier" w:hAnsi="Courier"/>
          <w:sz w:val="20"/>
        </w:rPr>
        <w:t>)</w:t>
      </w:r>
    </w:p>
    <w:p w:rsidR="00B65D66" w:rsidRDefault="00A50914" w:rsidP="00B65D66">
      <w:pPr>
        <w:tabs>
          <w:tab w:val="left" w:pos="300"/>
          <w:tab w:val="left" w:pos="709"/>
          <w:tab w:val="left" w:pos="2268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- </w:t>
      </w:r>
      <w:r>
        <w:rPr>
          <w:rFonts w:ascii="Courier" w:hAnsi="Courier"/>
          <w:i/>
        </w:rPr>
        <w:t>quantitativer</w:t>
      </w:r>
      <w:r>
        <w:rPr>
          <w:rFonts w:ascii="Courier" w:hAnsi="Courier"/>
        </w:rPr>
        <w:t xml:space="preserve"> Ablaut (die </w:t>
      </w:r>
      <w:r>
        <w:rPr>
          <w:rFonts w:ascii="Courier" w:hAnsi="Courier"/>
          <w:i/>
        </w:rPr>
        <w:t>Länge</w:t>
      </w:r>
      <w:r w:rsidRPr="00B65D66">
        <w:rPr>
          <w:rStyle w:val="Funotenzeichen"/>
        </w:rPr>
        <w:footnoteReference w:id="0"/>
      </w:r>
      <w:r>
        <w:rPr>
          <w:rFonts w:ascii="Courier" w:hAnsi="Courier"/>
        </w:rPr>
        <w:t xml:space="preserve"> des Vok. ist verschieden):</w:t>
      </w:r>
    </w:p>
    <w:p w:rsidR="00B65D66" w:rsidRDefault="00A50914" w:rsidP="00B65D66">
      <w:pPr>
        <w:tabs>
          <w:tab w:val="left" w:pos="300"/>
          <w:tab w:val="left" w:pos="709"/>
          <w:tab w:val="left" w:pos="2268"/>
          <w:tab w:val="left" w:pos="3261"/>
          <w:tab w:val="left" w:pos="4820"/>
        </w:tabs>
        <w:spacing w:before="240"/>
        <w:rPr>
          <w:rFonts w:ascii="Courier" w:hAnsi="Courier"/>
          <w:sz w:val="20"/>
        </w:rPr>
      </w:pPr>
      <w:r>
        <w:rPr>
          <w:rFonts w:ascii="Courier" w:hAnsi="Courier"/>
        </w:rPr>
        <w:tab/>
        <w:t xml:space="preserve">  </w:t>
      </w:r>
      <w:r>
        <w:rPr>
          <w:rFonts w:ascii="Courier" w:hAnsi="Courier"/>
        </w:rPr>
        <w:tab/>
        <w:t xml:space="preserve">  Bsp.:</w:t>
      </w:r>
      <w:r>
        <w:rPr>
          <w:rFonts w:ascii="Courier" w:hAnsi="Courier"/>
        </w:rPr>
        <w:tab/>
      </w:r>
      <w:r>
        <w:rPr>
          <w:rFonts w:ascii="Courier" w:hAnsi="Courier"/>
          <w:i/>
          <w:u w:val="single"/>
        </w:rPr>
        <w:t>e</w:t>
      </w:r>
      <w:r>
        <w:rPr>
          <w:rFonts w:ascii="Courier" w:hAnsi="Courier"/>
          <w:u w:val="single"/>
        </w:rPr>
        <w:t>s</w:t>
      </w:r>
      <w:r>
        <w:rPr>
          <w:rFonts w:ascii="Courier" w:hAnsi="Courier"/>
          <w:i/>
        </w:rPr>
        <w:t>-</w:t>
      </w:r>
      <w:r>
        <w:rPr>
          <w:rFonts w:ascii="Courier" w:hAnsi="Courier"/>
        </w:rPr>
        <w:t>t</w:t>
      </w:r>
      <w:r>
        <w:rPr>
          <w:rFonts w:ascii="Courier" w:hAnsi="Courier"/>
        </w:rPr>
        <w:tab/>
      </w:r>
      <w:r>
        <w:rPr>
          <w:rFonts w:ascii="Times New Roman" w:hAnsi="Times New Roman"/>
        </w:rPr>
        <w:t>↔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s</w:t>
      </w:r>
      <w:r>
        <w:rPr>
          <w:rFonts w:ascii="Courier" w:hAnsi="Courier"/>
          <w:i/>
        </w:rPr>
        <w:t>-</w:t>
      </w:r>
      <w:r>
        <w:rPr>
          <w:rFonts w:ascii="Courier" w:hAnsi="Courier"/>
        </w:rPr>
        <w:t>um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</w:t>
      </w:r>
      <w:r>
        <w:rPr>
          <w:rFonts w:ascii="Courier" w:hAnsi="Courier"/>
          <w:i/>
          <w:sz w:val="20"/>
        </w:rPr>
        <w:t>kurzer</w:t>
      </w:r>
      <w:r>
        <w:rPr>
          <w:rFonts w:ascii="Courier" w:hAnsi="Courier"/>
          <w:sz w:val="20"/>
        </w:rPr>
        <w:t xml:space="preserve"> Vokal </w:t>
      </w:r>
      <w:r>
        <w:rPr>
          <w:rFonts w:ascii="Times New Roman" w:hAnsi="Times New Roman"/>
        </w:rPr>
        <w:t>↔</w:t>
      </w:r>
      <w:r>
        <w:rPr>
          <w:rFonts w:ascii="Courier" w:hAnsi="Courier"/>
          <w:sz w:val="20"/>
        </w:rPr>
        <w:t xml:space="preserve"> "</w:t>
      </w:r>
      <w:r>
        <w:rPr>
          <w:rFonts w:ascii="Courier" w:hAnsi="Courier"/>
          <w:i/>
          <w:sz w:val="20"/>
        </w:rPr>
        <w:t>Null</w:t>
      </w:r>
      <w:r>
        <w:rPr>
          <w:rFonts w:ascii="Courier" w:hAnsi="Courier"/>
          <w:sz w:val="20"/>
        </w:rPr>
        <w:t>vokal")</w:t>
      </w:r>
    </w:p>
    <w:p w:rsidR="00B65D66" w:rsidRDefault="00A50914" w:rsidP="00B65D66">
      <w:pPr>
        <w:tabs>
          <w:tab w:val="left" w:pos="300"/>
          <w:tab w:val="left" w:pos="709"/>
          <w:tab w:val="left" w:pos="2268"/>
          <w:tab w:val="left" w:pos="3261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</w:t>
      </w:r>
      <w:r>
        <w:rPr>
          <w:rFonts w:ascii="Courier" w:hAnsi="Courier"/>
          <w:i/>
          <w:u w:val="single"/>
        </w:rPr>
        <w:t>i</w:t>
      </w:r>
      <w:r>
        <w:rPr>
          <w:rFonts w:ascii="Courier" w:hAnsi="Courier"/>
          <w:u w:val="single"/>
        </w:rPr>
        <w:t>s</w:t>
      </w:r>
      <w:r>
        <w:rPr>
          <w:rFonts w:ascii="Courier" w:hAnsi="Courier"/>
        </w:rPr>
        <w:t>-t</w:t>
      </w:r>
      <w:r>
        <w:rPr>
          <w:rFonts w:ascii="Courier" w:hAnsi="Courier"/>
        </w:rPr>
        <w:tab/>
      </w:r>
      <w:r>
        <w:rPr>
          <w:rFonts w:ascii="Times New Roman" w:hAnsi="Times New Roman"/>
        </w:rPr>
        <w:t>↔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s</w:t>
      </w:r>
      <w:r>
        <w:rPr>
          <w:rFonts w:ascii="Courier" w:hAnsi="Courier"/>
        </w:rPr>
        <w:t>-ind)</w:t>
      </w:r>
    </w:p>
    <w:p w:rsidR="00B65D66" w:rsidRDefault="00A50914">
      <w:pPr>
        <w:tabs>
          <w:tab w:val="left" w:pos="300"/>
        </w:tabs>
        <w:rPr>
          <w:rFonts w:ascii="Courier" w:hAnsi="Courier"/>
        </w:rPr>
      </w:pPr>
    </w:p>
    <w:p w:rsidR="00B65D66" w:rsidRDefault="00A50914">
      <w:pPr>
        <w:tabs>
          <w:tab w:val="left" w:pos="300"/>
        </w:tabs>
        <w:rPr>
          <w:rFonts w:ascii="Courier" w:hAnsi="Courier"/>
        </w:rPr>
      </w:pPr>
      <w:r>
        <w:rPr>
          <w:rFonts w:ascii="Courier" w:hAnsi="Courier"/>
        </w:rPr>
        <w:tab/>
        <w:t>(Weiteres zum Ablaut: § 2.2).</w:t>
      </w:r>
    </w:p>
    <w:p w:rsidR="00B65D66" w:rsidRDefault="00A50914" w:rsidP="00B65D66">
      <w:pPr>
        <w:spacing w:before="120"/>
        <w:rPr>
          <w:rFonts w:ascii="Courier" w:hAnsi="Courier"/>
        </w:rPr>
      </w:pPr>
    </w:p>
    <w:p w:rsidR="00B65D66" w:rsidRDefault="00A50914" w:rsidP="00B65D66">
      <w:pPr>
        <w:tabs>
          <w:tab w:val="left" w:pos="300"/>
          <w:tab w:val="left" w:pos="2268"/>
        </w:tabs>
        <w:spacing w:before="24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Rhotazismus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intervokalisches</w:t>
      </w:r>
      <w:r w:rsidRPr="00B65D66">
        <w:rPr>
          <w:rStyle w:val="Funotenzeichen"/>
        </w:rPr>
        <w:footnoteReference w:id="1"/>
      </w:r>
      <w:r>
        <w:rPr>
          <w:rFonts w:ascii="Courier" w:hAnsi="Courier"/>
        </w:rPr>
        <w:t xml:space="preserve"> -s- wurde einst zu -</w:t>
      </w:r>
      <w:r>
        <w:rPr>
          <w:rFonts w:ascii="Courier" w:hAnsi="Courier"/>
          <w:b/>
        </w:rPr>
        <w:t>r</w:t>
      </w:r>
      <w:r>
        <w:rPr>
          <w:rFonts w:ascii="Courier" w:hAnsi="Courier"/>
        </w:rPr>
        <w:t xml:space="preserve">-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(griech.: "rho")</w:t>
      </w:r>
      <w:r>
        <w:rPr>
          <w:rFonts w:ascii="Courier" w:hAnsi="Courier"/>
        </w:rPr>
        <w:t>;</w:t>
      </w:r>
    </w:p>
    <w:p w:rsidR="00B65D66" w:rsidRDefault="00A50914" w:rsidP="00B65D66">
      <w:pPr>
        <w:tabs>
          <w:tab w:val="left" w:pos="300"/>
          <w:tab w:val="left" w:pos="2268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Bsp: die eigentl. Infinitivendung hiess einst *-se!</w:t>
      </w:r>
    </w:p>
    <w:p w:rsidR="00B65D66" w:rsidRDefault="00A50914" w:rsidP="00B65D66">
      <w:pPr>
        <w:tabs>
          <w:tab w:val="left" w:pos="300"/>
          <w:tab w:val="left" w:pos="2268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*laud</w:t>
      </w:r>
      <w:r>
        <w:rPr>
          <w:rFonts w:ascii="Courier" w:hAnsi="Courier"/>
          <w:u w:val="single"/>
        </w:rPr>
        <w:t>a</w:t>
      </w:r>
      <w:r>
        <w:rPr>
          <w:rFonts w:ascii="Courier" w:hAnsi="Courier"/>
        </w:rPr>
        <w:t>-s</w:t>
      </w:r>
      <w:r>
        <w:rPr>
          <w:rFonts w:ascii="Courier" w:hAnsi="Courier"/>
          <w:u w:val="single"/>
        </w:rPr>
        <w:t>e</w:t>
      </w:r>
      <w:r>
        <w:rPr>
          <w:rFonts w:ascii="Courier" w:hAnsi="Courier"/>
        </w:rPr>
        <w:t xml:space="preserve"> wurde also zu lauda-</w:t>
      </w:r>
      <w:r>
        <w:rPr>
          <w:rFonts w:ascii="Courier" w:hAnsi="Courier"/>
          <w:b/>
        </w:rPr>
        <w:t>r</w:t>
      </w:r>
      <w:r>
        <w:rPr>
          <w:rFonts w:ascii="Courier" w:hAnsi="Courier"/>
        </w:rPr>
        <w:t>e;</w:t>
      </w:r>
    </w:p>
    <w:p w:rsidR="00B65D66" w:rsidRDefault="00A50914" w:rsidP="00B65D66">
      <w:pPr>
        <w:tabs>
          <w:tab w:val="left" w:pos="300"/>
          <w:tab w:val="left" w:pos="2268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>aber e</w:t>
      </w:r>
      <w:r>
        <w:rPr>
          <w:rFonts w:ascii="Courier" w:hAnsi="Courier"/>
          <w:i/>
        </w:rPr>
        <w:t>s</w:t>
      </w:r>
      <w:r>
        <w:rPr>
          <w:rFonts w:ascii="Courier" w:hAnsi="Courier"/>
        </w:rPr>
        <w:t>-s</w:t>
      </w:r>
      <w:r>
        <w:rPr>
          <w:rFonts w:ascii="Courier" w:hAnsi="Courier"/>
          <w:u w:val="single"/>
        </w:rPr>
        <w:t>e</w:t>
      </w:r>
      <w:r>
        <w:rPr>
          <w:rFonts w:ascii="Courier" w:hAnsi="Courier"/>
        </w:rPr>
        <w:t xml:space="preserve"> blieb natürlich unverändert.</w:t>
      </w:r>
    </w:p>
    <w:p w:rsidR="00B65D66" w:rsidRDefault="00A50914">
      <w:pPr>
        <w:tabs>
          <w:tab w:val="left" w:pos="300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  <w:t>(Der Rhotazismus ist ein Beispiel für die Tatsache, dass Sprachen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sich verändern).</w:t>
      </w:r>
    </w:p>
    <w:p w:rsidR="00B65D66" w:rsidRDefault="00A50914">
      <w:pPr>
        <w:spacing w:before="240"/>
        <w:rPr>
          <w:rFonts w:ascii="Courier" w:hAnsi="Courier"/>
        </w:rPr>
      </w:pPr>
    </w:p>
    <w:p w:rsidR="00B65D66" w:rsidRDefault="00A50914">
      <w:pPr>
        <w:rPr>
          <w:rFonts w:ascii="Courier" w:hAnsi="Courier"/>
        </w:rPr>
      </w:pPr>
    </w:p>
    <w:p w:rsidR="00B65D66" w:rsidRDefault="00A50914">
      <w:pPr>
        <w:spacing w:before="240"/>
        <w:rPr>
          <w:rFonts w:ascii="Courier" w:hAnsi="Courier"/>
        </w:rPr>
      </w:pPr>
    </w:p>
    <w:p w:rsidR="00B65D66" w:rsidRDefault="00A50914" w:rsidP="00B65D66">
      <w:pPr>
        <w:pBdr>
          <w:bottom w:val="single" w:sz="12" w:space="2" w:color="auto"/>
        </w:pBdr>
        <w:tabs>
          <w:tab w:val="left" w:pos="1276"/>
          <w:tab w:val="left" w:pos="8647"/>
        </w:tabs>
        <w:ind w:right="-198"/>
        <w:rPr>
          <w:rFonts w:ascii="Courier" w:hAnsi="Courier"/>
          <w:b/>
        </w:rPr>
      </w:pPr>
      <w:r>
        <w:rPr>
          <w:rFonts w:ascii="Courier" w:hAnsi="Courier"/>
          <w:b/>
        </w:rPr>
        <w:t>§ 5.2.2</w:t>
      </w:r>
      <w:r>
        <w:rPr>
          <w:rFonts w:ascii="Courier" w:hAnsi="Courier"/>
          <w:b/>
        </w:rPr>
        <w:tab/>
        <w:t>(Kompositum von esse) posse</w:t>
      </w:r>
      <w:proofErr w:type="gramStart"/>
      <w:r>
        <w:rPr>
          <w:rFonts w:ascii="Courier" w:hAnsi="Courier"/>
          <w:b/>
        </w:rPr>
        <w:t>: Inf.,</w:t>
      </w:r>
      <w:proofErr w:type="gramEnd"/>
      <w:r>
        <w:rPr>
          <w:rFonts w:ascii="Courier" w:hAnsi="Courier"/>
          <w:b/>
        </w:rPr>
        <w:t xml:space="preserve"> Indik. Präsens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4)</w:t>
      </w:r>
    </w:p>
    <w:p w:rsidR="00B65D66" w:rsidRDefault="00A50914">
      <w:pPr>
        <w:rPr>
          <w:rFonts w:ascii="Courier" w:hAnsi="Courier"/>
        </w:rPr>
      </w:pPr>
    </w:p>
    <w:p w:rsidR="00B65D66" w:rsidRDefault="00A50914">
      <w:pPr>
        <w:spacing w:before="240"/>
        <w:rPr>
          <w:rFonts w:ascii="Courier" w:hAnsi="Courier"/>
        </w:rPr>
      </w:pPr>
      <w:r>
        <w:rPr>
          <w:rFonts w:ascii="Courier" w:hAnsi="Courier"/>
        </w:rPr>
        <w:t>s. Ostia I, S. 165, Punkt 4.3.</w:t>
      </w:r>
    </w:p>
    <w:p w:rsidR="00B65D66" w:rsidRDefault="00A50914">
      <w:pPr>
        <w:spacing w:before="240" w:line="480" w:lineRule="atLeast"/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Merke: Eine weitere wichtige</w:t>
      </w:r>
      <w:r>
        <w:rPr>
          <w:rFonts w:ascii="Courier" w:hAnsi="Courier"/>
          <w:b/>
          <w:u w:val="single"/>
        </w:rPr>
        <w:t xml:space="preserve"> Lauterscheinung:</w:t>
      </w:r>
    </w:p>
    <w:p w:rsidR="00B65D66" w:rsidRDefault="00A50914">
      <w:pPr>
        <w:tabs>
          <w:tab w:val="left" w:pos="2880"/>
        </w:tabs>
        <w:spacing w:before="240"/>
        <w:rPr>
          <w:rFonts w:ascii="Courier" w:hAnsi="Courier"/>
        </w:rPr>
      </w:pPr>
      <w:r>
        <w:rPr>
          <w:rFonts w:ascii="Courier" w:hAnsi="Courier"/>
        </w:rPr>
        <w:t xml:space="preserve">die </w:t>
      </w:r>
      <w:r>
        <w:rPr>
          <w:rFonts w:ascii="Courier" w:hAnsi="Courier"/>
          <w:b/>
        </w:rPr>
        <w:t>Assimilation</w:t>
      </w:r>
      <w:r w:rsidRPr="00B65D66">
        <w:rPr>
          <w:rStyle w:val="Funotenzeichen"/>
        </w:rPr>
        <w:footnoteReference w:id="2"/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Angleichung eines Konsonanten an den folgenden:</w:t>
      </w:r>
    </w:p>
    <w:p w:rsidR="00B65D66" w:rsidRDefault="00A50914">
      <w:pPr>
        <w:tabs>
          <w:tab w:val="left" w:pos="2880"/>
        </w:tabs>
        <w:spacing w:before="240"/>
        <w:rPr>
          <w:rFonts w:ascii="Courier" w:hAnsi="Courier"/>
        </w:rPr>
      </w:pPr>
      <w:r>
        <w:rPr>
          <w:rFonts w:ascii="Courier" w:hAnsi="Courier"/>
        </w:rPr>
        <w:tab/>
        <w:t>*pot-sum &gt; possum, *pot-sumus &gt; possumus.</w:t>
      </w:r>
    </w:p>
    <w:sectPr w:rsidR="00B65D66">
      <w:pgSz w:w="11880" w:h="16800"/>
      <w:pgMar w:top="851" w:right="1021" w:bottom="851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B65D66" w:rsidRPr="00B65D66" w:rsidRDefault="00A50914">
      <w:pPr>
        <w:pStyle w:val="Funotentext"/>
        <w:rPr>
          <w:rFonts w:ascii="Courier" w:hAnsi="Courier"/>
          <w:sz w:val="20"/>
        </w:rPr>
      </w:pPr>
      <w:r w:rsidRPr="00B65D66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B65D66">
        <w:rPr>
          <w:rFonts w:ascii="Courier" w:hAnsi="Courier"/>
          <w:sz w:val="20"/>
        </w:rPr>
        <w:t>"Art": Qualität.</w:t>
      </w:r>
    </w:p>
  </w:footnote>
  <w:footnote w:id="0">
    <w:p w:rsidR="00B65D66" w:rsidRPr="00B65D66" w:rsidRDefault="00A50914">
      <w:pPr>
        <w:pStyle w:val="Funotentext"/>
        <w:rPr>
          <w:rFonts w:ascii="Courier" w:hAnsi="Courier"/>
          <w:sz w:val="20"/>
        </w:rPr>
      </w:pPr>
      <w:r w:rsidRPr="00B65D66">
        <w:rPr>
          <w:rStyle w:val="Funotenzeichen"/>
          <w:sz w:val="20"/>
        </w:rPr>
        <w:footnoteRef/>
      </w:r>
      <w:r w:rsidRPr="00B65D66">
        <w:rPr>
          <w:rFonts w:ascii="Courier" w:hAnsi="Courier"/>
          <w:sz w:val="20"/>
        </w:rPr>
        <w:t xml:space="preserve"> "Länge": Quantität.</w:t>
      </w:r>
    </w:p>
  </w:footnote>
  <w:footnote w:id="1">
    <w:p w:rsidR="00B65D66" w:rsidRDefault="00A50914">
      <w:pPr>
        <w:rPr>
          <w:rFonts w:ascii="Courier" w:hAnsi="Courier"/>
          <w:sz w:val="20"/>
        </w:rPr>
      </w:pPr>
      <w:r w:rsidRPr="00B65D66">
        <w:rPr>
          <w:rStyle w:val="Funotenzeichen"/>
          <w:sz w:val="20"/>
        </w:rPr>
        <w:footnoteRef/>
      </w:r>
      <w:r w:rsidRPr="00B65D66">
        <w:rPr>
          <w:rFonts w:ascii="Courier" w:hAnsi="Courier"/>
          <w:sz w:val="20"/>
        </w:rPr>
        <w:t xml:space="preserve"> "intervokalisch": = zwischen zwei Vokalen stehend.</w:t>
      </w:r>
    </w:p>
  </w:footnote>
  <w:footnote w:id="2">
    <w:p w:rsidR="00B65D66" w:rsidRPr="00B65D66" w:rsidRDefault="00A50914">
      <w:pPr>
        <w:pStyle w:val="Funotentext"/>
        <w:rPr>
          <w:rFonts w:ascii="Courier" w:hAnsi="Courier"/>
          <w:sz w:val="20"/>
        </w:rPr>
      </w:pPr>
      <w:r w:rsidRPr="00B65D66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B65D66">
        <w:rPr>
          <w:rFonts w:ascii="Courier" w:hAnsi="Courier"/>
          <w:sz w:val="20"/>
        </w:rPr>
        <w:t>Du kennst die Assimilation (&lt;A</w:t>
      </w:r>
      <w:r w:rsidRPr="00B65D66">
        <w:rPr>
          <w:rFonts w:ascii="Courier" w:hAnsi="Courier"/>
          <w:sz w:val="20"/>
          <w:u w:val="single"/>
        </w:rPr>
        <w:t>d</w:t>
      </w:r>
      <w:r w:rsidRPr="00B65D66">
        <w:rPr>
          <w:rFonts w:ascii="Courier" w:hAnsi="Courier"/>
          <w:sz w:val="20"/>
        </w:rPr>
        <w:t>-</w:t>
      </w:r>
      <w:r w:rsidRPr="00B65D66">
        <w:rPr>
          <w:rFonts w:ascii="Courier" w:hAnsi="Courier"/>
          <w:sz w:val="20"/>
          <w:u w:val="single"/>
        </w:rPr>
        <w:t>s</w:t>
      </w:r>
      <w:r w:rsidRPr="00B65D66">
        <w:rPr>
          <w:rFonts w:ascii="Courier" w:hAnsi="Courier"/>
          <w:sz w:val="20"/>
        </w:rPr>
        <w:t>imilation!) bereits mehrfach – Beispiele?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B65D66"/>
    <w:rsid w:val="00A5091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B65D66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04.1.2.2 (2.Dekl) Vokativ</vt:lpstr>
    </vt:vector>
  </TitlesOfParts>
  <Company>cheironos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04.1.2.2 (2.Dekl) Vokativ</dc:title>
  <dc:subject/>
  <dc:creator>Theo Wirth</dc:creator>
  <cp:keywords/>
  <cp:lastModifiedBy>Theo Wirth</cp:lastModifiedBy>
  <cp:revision>2</cp:revision>
  <dcterms:created xsi:type="dcterms:W3CDTF">2009-11-10T15:26:00Z</dcterms:created>
  <dcterms:modified xsi:type="dcterms:W3CDTF">2009-11-10T15:26:00Z</dcterms:modified>
</cp:coreProperties>
</file>