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29" w:rsidRDefault="00761C60" w:rsidP="007C2E29">
      <w:pPr>
        <w:pBdr>
          <w:bottom w:val="single" w:sz="12" w:space="2" w:color="auto"/>
        </w:pBdr>
        <w:tabs>
          <w:tab w:val="left" w:pos="1134"/>
        </w:tabs>
        <w:rPr>
          <w:rFonts w:ascii="Courier" w:hAnsi="Courier"/>
          <w:b/>
        </w:rPr>
      </w:pPr>
      <w:r>
        <w:rPr>
          <w:rFonts w:ascii="Courier" w:hAnsi="Courier"/>
          <w:b/>
        </w:rPr>
        <w:t>§ 9.4</w:t>
      </w:r>
      <w:r>
        <w:rPr>
          <w:rFonts w:ascii="Courier" w:hAnsi="Courier"/>
          <w:b/>
        </w:rPr>
        <w:tab/>
        <w:t>Ein weiteres Satzglied: das Akkusativ-Objekt (=AO)</w:t>
      </w:r>
    </w:p>
    <w:p w:rsidR="007C2E29" w:rsidRDefault="00761C60" w:rsidP="007C2E29">
      <w:pPr>
        <w:tabs>
          <w:tab w:val="left" w:pos="8505"/>
        </w:tabs>
        <w:spacing w:after="80" w:line="28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(Ostia 2)</w:t>
      </w:r>
    </w:p>
    <w:p w:rsidR="007C2E29" w:rsidRDefault="00761C60">
      <w:pPr>
        <w:spacing w:after="80" w:line="280" w:lineRule="atLeast"/>
        <w:rPr>
          <w:rFonts w:ascii="Courier" w:hAnsi="Courier"/>
        </w:rPr>
      </w:pPr>
      <w:r>
        <w:rPr>
          <w:rFonts w:ascii="Courier" w:hAnsi="Courier"/>
        </w:rPr>
        <w:t>Die meisten Sätze bestehen nicht nur aus den Satzgliedern Subjekt und Prädikat, sondern weisen noch andere Satzglieder auf.</w:t>
      </w:r>
    </w:p>
    <w:p w:rsidR="007C2E29" w:rsidRDefault="00761C60">
      <w:pPr>
        <w:spacing w:after="80" w:line="280" w:lineRule="atLeast"/>
        <w:rPr>
          <w:rFonts w:ascii="Courier" w:hAnsi="Courier"/>
        </w:rPr>
      </w:pPr>
      <w:r>
        <w:rPr>
          <w:rFonts w:ascii="Courier" w:hAnsi="Courier"/>
          <w:b/>
        </w:rPr>
        <w:t>Die Satzglieder eines Satzes</w:t>
      </w:r>
      <w:r>
        <w:rPr>
          <w:rFonts w:ascii="Courier" w:hAnsi="Courier"/>
        </w:rPr>
        <w:t xml:space="preserve"> stehen ja nicht isoliert nebeneinan</w:t>
      </w:r>
      <w:r>
        <w:rPr>
          <w:rFonts w:ascii="Courier" w:hAnsi="Courier"/>
        </w:rPr>
        <w:softHyphen/>
        <w:t xml:space="preserve">der; sie </w:t>
      </w:r>
      <w:r>
        <w:rPr>
          <w:rFonts w:ascii="Courier" w:hAnsi="Courier"/>
          <w:b/>
        </w:rPr>
        <w:t>sind aufeinander bezogen</w:t>
      </w:r>
      <w:r>
        <w:rPr>
          <w:rFonts w:ascii="Courier" w:hAnsi="Courier"/>
        </w:rPr>
        <w:t xml:space="preserve">. </w:t>
      </w:r>
      <w:r>
        <w:rPr>
          <w:rFonts w:ascii="Courier" w:hAnsi="Courier"/>
        </w:rPr>
        <w:br/>
        <w:t xml:space="preserve">Soweit die Satzglieder </w:t>
      </w:r>
      <w:r>
        <w:rPr>
          <w:rFonts w:ascii="Courier" w:hAnsi="Courier"/>
          <w:b/>
        </w:rPr>
        <w:t>Nomina</w:t>
      </w:r>
      <w:r>
        <w:rPr>
          <w:rFonts w:ascii="Courier" w:hAnsi="Courier"/>
        </w:rPr>
        <w:t xml:space="preserve"> sind, werden diese Bezüge durch </w:t>
      </w:r>
      <w:r>
        <w:rPr>
          <w:rFonts w:ascii="Courier" w:hAnsi="Courier"/>
          <w:b/>
        </w:rPr>
        <w:t>die verschiedenen Fälle (Kas</w:t>
      </w:r>
      <w:r>
        <w:rPr>
          <w:rFonts w:ascii="Courier" w:hAnsi="Courier"/>
          <w:b/>
        </w:rPr>
        <w:t>ūs, Einzahl: Kasŭs)</w:t>
      </w:r>
      <w:r>
        <w:rPr>
          <w:rFonts w:ascii="Courier" w:hAnsi="Courier"/>
        </w:rPr>
        <w:t xml:space="preserve"> klar gemacht.</w:t>
      </w:r>
    </w:p>
    <w:p w:rsidR="007C2E29" w:rsidRDefault="00761C60">
      <w:pPr>
        <w:spacing w:after="80" w:line="280" w:lineRule="atLeast"/>
        <w:ind w:right="-675"/>
        <w:rPr>
          <w:rFonts w:ascii="Courier" w:hAnsi="Courier"/>
        </w:rPr>
      </w:pPr>
      <w:r>
        <w:rPr>
          <w:rFonts w:ascii="Courier" w:hAnsi="Courier"/>
        </w:rPr>
        <w:t xml:space="preserve">Bei den </w:t>
      </w:r>
      <w:r>
        <w:rPr>
          <w:rFonts w:ascii="Courier" w:hAnsi="Courier"/>
          <w:b/>
        </w:rPr>
        <w:t>Substantiven</w:t>
      </w:r>
      <w:r>
        <w:rPr>
          <w:rFonts w:ascii="Courier" w:hAnsi="Courier"/>
        </w:rPr>
        <w:t xml:space="preserve"> zeigt sich der </w:t>
      </w:r>
      <w:r>
        <w:rPr>
          <w:rFonts w:ascii="Courier" w:hAnsi="Courier"/>
          <w:b/>
        </w:rPr>
        <w:t>Kasus</w:t>
      </w:r>
      <w:r>
        <w:rPr>
          <w:rFonts w:ascii="Courier" w:hAnsi="Courier"/>
        </w:rPr>
        <w:t xml:space="preserve"> </w:t>
      </w:r>
      <w:r>
        <w:rPr>
          <w:rFonts w:ascii="Courier" w:hAnsi="Courier"/>
        </w:rPr>
        <w:br/>
        <w:t xml:space="preserve">- im Deutschen meist in der </w:t>
      </w:r>
      <w:r>
        <w:rPr>
          <w:rFonts w:ascii="Courier" w:hAnsi="Courier"/>
          <w:b/>
        </w:rPr>
        <w:t>Endung des Artikels und des Substantivs</w:t>
      </w:r>
      <w:r>
        <w:rPr>
          <w:rFonts w:ascii="Courier" w:hAnsi="Courier"/>
        </w:rPr>
        <w:t>,</w:t>
      </w:r>
      <w:r>
        <w:rPr>
          <w:rFonts w:ascii="Courier" w:hAnsi="Courier"/>
        </w:rPr>
        <w:br/>
        <w:t xml:space="preserve">- im Lateinischen natürlich nur in der </w:t>
      </w:r>
      <w:r>
        <w:rPr>
          <w:rFonts w:ascii="Courier" w:hAnsi="Courier"/>
          <w:b/>
        </w:rPr>
        <w:t>Endung des Substantivs</w:t>
      </w:r>
      <w:r>
        <w:rPr>
          <w:rFonts w:ascii="Courier" w:hAnsi="Courier"/>
        </w:rPr>
        <w:t>.</w:t>
      </w:r>
    </w:p>
    <w:p w:rsidR="007C2E29" w:rsidRDefault="00761C60">
      <w:pPr>
        <w:spacing w:after="80" w:line="280" w:lineRule="atLeast"/>
        <w:rPr>
          <w:rFonts w:ascii="Courier" w:hAnsi="Courier"/>
        </w:rPr>
      </w:pPr>
      <w:r>
        <w:rPr>
          <w:rFonts w:ascii="Courier" w:hAnsi="Courier"/>
        </w:rPr>
        <w:t xml:space="preserve">Mit dem </w:t>
      </w:r>
      <w:r>
        <w:rPr>
          <w:rFonts w:ascii="Courier" w:hAnsi="Courier"/>
          <w:b/>
        </w:rPr>
        <w:t>Akkusativobjekt</w:t>
      </w:r>
      <w:r>
        <w:rPr>
          <w:rFonts w:ascii="Courier" w:hAnsi="Courier"/>
        </w:rPr>
        <w:t xml:space="preserve"> lernst Du ein neues Sat</w:t>
      </w:r>
      <w:r>
        <w:rPr>
          <w:rFonts w:ascii="Courier" w:hAnsi="Courier"/>
        </w:rPr>
        <w:t xml:space="preserve">zglied kennen: das </w:t>
      </w:r>
      <w:r>
        <w:rPr>
          <w:rFonts w:ascii="Courier" w:hAnsi="Courier"/>
          <w:b/>
        </w:rPr>
        <w:t>Objekt</w:t>
      </w:r>
      <w:r>
        <w:rPr>
          <w:rFonts w:ascii="Courier" w:hAnsi="Courier"/>
        </w:rPr>
        <w:t>.</w:t>
      </w:r>
    </w:p>
    <w:p w:rsidR="007C2E29" w:rsidRDefault="00761C60">
      <w:pPr>
        <w:spacing w:after="80" w:line="280" w:lineRule="atLeast"/>
        <w:rPr>
          <w:rFonts w:ascii="Courier" w:hAnsi="Courier"/>
        </w:rPr>
      </w:pPr>
    </w:p>
    <w:p w:rsidR="007C2E29" w:rsidRDefault="00761C60" w:rsidP="007C2E29">
      <w:pPr>
        <w:tabs>
          <w:tab w:val="left" w:pos="709"/>
          <w:tab w:val="left" w:pos="4962"/>
          <w:tab w:val="left" w:pos="7230"/>
        </w:tabs>
        <w:spacing w:line="28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i/>
          <w:vanish/>
          <w:color w:val="0000FF"/>
          <w:sz w:val="20"/>
        </w:rPr>
        <w:t xml:space="preserve">Endungen von Hand </w:t>
      </w:r>
      <w:r>
        <w:rPr>
          <w:rFonts w:ascii="Courier" w:hAnsi="Courier"/>
          <w:i/>
          <w:vanish/>
          <w:color w:val="FF0000"/>
          <w:sz w:val="20"/>
        </w:rPr>
        <w:t>rot</w:t>
      </w:r>
      <w:r>
        <w:rPr>
          <w:rFonts w:ascii="Courier" w:hAnsi="Courier"/>
          <w:i/>
          <w:vanish/>
          <w:color w:val="0000FF"/>
          <w:sz w:val="20"/>
        </w:rPr>
        <w:t xml:space="preserve"> ausfüllen lassen</w:t>
      </w:r>
    </w:p>
    <w:p w:rsidR="007C2E29" w:rsidRDefault="00761C60" w:rsidP="007C2E29">
      <w:pPr>
        <w:tabs>
          <w:tab w:val="left" w:pos="709"/>
          <w:tab w:val="left" w:pos="4962"/>
          <w:tab w:val="left" w:pos="7230"/>
        </w:tabs>
        <w:spacing w:line="28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i/>
          <w:vanish/>
          <w:color w:val="FF0000"/>
          <w:sz w:val="20"/>
        </w:rPr>
        <w:t>Substantiv</w:t>
      </w:r>
      <w:r>
        <w:rPr>
          <w:rFonts w:ascii="Courier" w:hAnsi="Courier"/>
          <w:i/>
          <w:vanish/>
          <w:color w:val="FF0000"/>
          <w:sz w:val="20"/>
        </w:rPr>
        <w:tab/>
        <w:t>Substantiv</w:t>
      </w:r>
      <w:r>
        <w:rPr>
          <w:rFonts w:ascii="Courier" w:hAnsi="Courier"/>
          <w:i/>
          <w:vanish/>
          <w:color w:val="FF0000"/>
          <w:sz w:val="20"/>
        </w:rPr>
        <w:tab/>
        <w:t>Verb</w:t>
      </w:r>
    </w:p>
    <w:p w:rsidR="007C2E29" w:rsidRDefault="00761C60">
      <w:pPr>
        <w:spacing w:line="28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position w:val="-32"/>
        </w:rPr>
        <w:object w:dxaOrig="77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88pt;height:38pt" o:ole="" o:bordertopcolor="lime" o:borderleftcolor="lime" o:borderbottomcolor="red" o:borderrightcolor="red">
            <v:imagedata r:id="rId4" r:pict="rId5" o:title=""/>
            <w10:bordertop/>
            <w10:borderleft/>
            <w10:borderbottom/>
            <w10:borderright/>
          </v:shape>
          <o:OLEObject Type="Embed" ProgID="Equation.3" ShapeID="_x0000_i1026" DrawAspect="Content" ObjectID="_1194371447" r:id="rId6">
            <o:FieldCodes>\* mergeformat</o:FieldCodes>
          </o:OLEObject>
        </w:object>
      </w:r>
    </w:p>
    <w:p w:rsidR="007C2E29" w:rsidRDefault="00761C60" w:rsidP="007C2E29">
      <w:pPr>
        <w:tabs>
          <w:tab w:val="left" w:pos="709"/>
          <w:tab w:val="left" w:pos="4820"/>
          <w:tab w:val="left" w:pos="6804"/>
        </w:tabs>
        <w:spacing w:line="28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i/>
          <w:vanish/>
          <w:color w:val="00FF00"/>
          <w:sz w:val="20"/>
        </w:rPr>
        <w:t>Subjekt</w:t>
      </w:r>
      <w:r>
        <w:rPr>
          <w:rFonts w:ascii="Courier" w:hAnsi="Courier"/>
          <w:i/>
          <w:vanish/>
          <w:color w:val="00FF00"/>
          <w:sz w:val="20"/>
        </w:rPr>
        <w:tab/>
        <w:t>Akk.-Objekt</w:t>
      </w:r>
      <w:r>
        <w:rPr>
          <w:rFonts w:ascii="Courier" w:hAnsi="Courier"/>
          <w:i/>
          <w:vanish/>
          <w:color w:val="00FF00"/>
          <w:sz w:val="20"/>
        </w:rPr>
        <w:tab/>
        <w:t>einfaches Präd.</w:t>
      </w:r>
    </w:p>
    <w:p w:rsidR="007C2E29" w:rsidRDefault="00761C60">
      <w:pPr>
        <w:spacing w:line="280" w:lineRule="atLeast"/>
        <w:rPr>
          <w:rFonts w:ascii="Courier" w:hAnsi="Courier"/>
        </w:rPr>
      </w:pPr>
    </w:p>
    <w:p w:rsidR="007C2E29" w:rsidRDefault="00761C60" w:rsidP="007C2E29">
      <w:pPr>
        <w:tabs>
          <w:tab w:val="left" w:pos="709"/>
          <w:tab w:val="left" w:pos="1985"/>
          <w:tab w:val="left" w:pos="3686"/>
          <w:tab w:val="left" w:pos="5103"/>
          <w:tab w:val="left" w:pos="6663"/>
        </w:tabs>
        <w:spacing w:line="28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i/>
          <w:vanish/>
          <w:color w:val="FF0000"/>
          <w:sz w:val="20"/>
        </w:rPr>
        <w:t>Artikel</w:t>
      </w:r>
      <w:r>
        <w:rPr>
          <w:rFonts w:ascii="Courier" w:hAnsi="Courier"/>
          <w:i/>
          <w:vanish/>
          <w:color w:val="FF0000"/>
          <w:sz w:val="20"/>
        </w:rPr>
        <w:tab/>
        <w:t>Substantiv</w:t>
      </w:r>
      <w:r>
        <w:rPr>
          <w:rFonts w:ascii="Courier" w:hAnsi="Courier"/>
          <w:i/>
          <w:vanish/>
          <w:color w:val="FF0000"/>
          <w:sz w:val="20"/>
        </w:rPr>
        <w:tab/>
        <w:t>Verb</w:t>
      </w:r>
      <w:r>
        <w:rPr>
          <w:rFonts w:ascii="Courier" w:hAnsi="Courier"/>
          <w:i/>
          <w:vanish/>
          <w:color w:val="FF0000"/>
          <w:sz w:val="20"/>
        </w:rPr>
        <w:tab/>
        <w:t>Artikel</w:t>
      </w:r>
      <w:r>
        <w:rPr>
          <w:rFonts w:ascii="Courier" w:hAnsi="Courier"/>
          <w:i/>
          <w:vanish/>
          <w:color w:val="FF0000"/>
          <w:sz w:val="20"/>
        </w:rPr>
        <w:tab/>
        <w:t>Substantiv</w:t>
      </w:r>
    </w:p>
    <w:p w:rsidR="007C2E29" w:rsidRDefault="00761C60" w:rsidP="007C2E29">
      <w:pPr>
        <w:tabs>
          <w:tab w:val="left" w:pos="709"/>
          <w:tab w:val="left" w:pos="2127"/>
          <w:tab w:val="left" w:pos="3828"/>
        </w:tabs>
        <w:spacing w:line="28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position w:val="-32"/>
        </w:rPr>
        <w:object w:dxaOrig="7380" w:dyaOrig="760">
          <v:shape id="_x0000_i1027" type="#_x0000_t75" style="width:369.35pt;height:38pt" o:ole="" o:bordertopcolor="lime" o:borderleftcolor="lime" o:borderbottomcolor="red" o:borderrightcolor="red">
            <v:imagedata r:id="rId7" r:pict="rId8" o:title=""/>
            <w10:bordertop/>
            <w10:borderleft/>
            <w10:borderbottom/>
            <w10:borderright/>
          </v:shape>
          <o:OLEObject Type="Embed" ProgID="Equation.3" ShapeID="_x0000_i1027" DrawAspect="Content" ObjectID="_1194371448" r:id="rId9">
            <o:FieldCodes>\* mergeformat</o:FieldCodes>
          </o:OLEObject>
        </w:object>
      </w:r>
    </w:p>
    <w:p w:rsidR="007C2E29" w:rsidRDefault="00761C60" w:rsidP="007C2E29">
      <w:pPr>
        <w:tabs>
          <w:tab w:val="left" w:pos="1418"/>
          <w:tab w:val="left" w:pos="3686"/>
          <w:tab w:val="left" w:pos="5670"/>
        </w:tabs>
        <w:spacing w:line="28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i/>
          <w:vanish/>
          <w:color w:val="00FF00"/>
          <w:sz w:val="20"/>
        </w:rPr>
        <w:t>Subjekt</w:t>
      </w:r>
      <w:r>
        <w:rPr>
          <w:rFonts w:ascii="Courier" w:hAnsi="Courier"/>
          <w:i/>
          <w:vanish/>
          <w:color w:val="00FF00"/>
          <w:sz w:val="20"/>
        </w:rPr>
        <w:tab/>
        <w:t>einf. Präd.</w:t>
      </w:r>
      <w:r>
        <w:rPr>
          <w:rFonts w:ascii="Courier" w:hAnsi="Courier"/>
          <w:i/>
          <w:vanish/>
          <w:color w:val="00FF00"/>
          <w:sz w:val="20"/>
        </w:rPr>
        <w:tab/>
        <w:t>Akk.-Objekt</w:t>
      </w:r>
    </w:p>
    <w:p w:rsidR="007C2E29" w:rsidRDefault="00761C60">
      <w:pPr>
        <w:spacing w:line="280" w:lineRule="atLeast"/>
        <w:rPr>
          <w:rFonts w:ascii="Courier" w:hAnsi="Courier"/>
        </w:rPr>
      </w:pPr>
    </w:p>
    <w:p w:rsidR="007C2E29" w:rsidRDefault="00761C60">
      <w:pPr>
        <w:spacing w:line="280" w:lineRule="atLeast"/>
        <w:rPr>
          <w:rFonts w:ascii="Courier" w:hAnsi="Courier"/>
        </w:rPr>
      </w:pPr>
    </w:p>
    <w:p w:rsidR="007C2E29" w:rsidRDefault="00761C60" w:rsidP="007C2E29">
      <w:pPr>
        <w:tabs>
          <w:tab w:val="left" w:pos="1276"/>
          <w:tab w:val="left" w:pos="4395"/>
        </w:tabs>
        <w:spacing w:after="80" w:line="280" w:lineRule="atLeast"/>
        <w:rPr>
          <w:rFonts w:ascii="Courier" w:hAnsi="Courier"/>
        </w:rPr>
      </w:pPr>
      <w:r w:rsidRPr="007C2E29">
        <w:rPr>
          <w:rFonts w:ascii="Courier" w:hAnsi="Courier"/>
          <w:b/>
          <w:bdr w:val="single" w:sz="4" w:space="0" w:color="auto"/>
        </w:rPr>
        <w:t>Form</w:t>
      </w:r>
      <w:r>
        <w:rPr>
          <w:rFonts w:ascii="Courier" w:hAnsi="Courier"/>
        </w:rPr>
        <w:tab/>
        <w:t>des Akkusativobjekts:</w:t>
      </w:r>
      <w:r>
        <w:rPr>
          <w:rFonts w:ascii="Courier" w:hAnsi="Courier"/>
        </w:rPr>
        <w:tab/>
        <w:t xml:space="preserve">Akkusativ (Wen/Was-Fall); auf die 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Frage "wen/was?" ergibt sich also das 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Akkusativobjekt.</w:t>
      </w:r>
    </w:p>
    <w:p w:rsidR="007C2E29" w:rsidRDefault="00761C60" w:rsidP="007C2E29">
      <w:pPr>
        <w:tabs>
          <w:tab w:val="left" w:pos="1276"/>
          <w:tab w:val="left" w:pos="4395"/>
        </w:tabs>
        <w:spacing w:after="80"/>
        <w:rPr>
          <w:rFonts w:ascii="Courier" w:hAnsi="Courier"/>
          <w:sz w:val="20"/>
          <w:u w:val="single"/>
        </w:rPr>
      </w:pPr>
    </w:p>
    <w:p w:rsidR="007C2E29" w:rsidRDefault="00761C60" w:rsidP="007C2E29">
      <w:pPr>
        <w:tabs>
          <w:tab w:val="left" w:pos="1276"/>
          <w:tab w:val="left" w:pos="4395"/>
        </w:tabs>
        <w:spacing w:after="80" w:line="280" w:lineRule="atLeast"/>
        <w:rPr>
          <w:rFonts w:ascii="Courier" w:hAnsi="Courier"/>
        </w:rPr>
      </w:pPr>
      <w:r w:rsidRPr="007C2E29">
        <w:rPr>
          <w:rFonts w:ascii="Courier" w:hAnsi="Courier"/>
          <w:b/>
          <w:bdr w:val="single" w:sz="4" w:space="0" w:color="auto"/>
        </w:rPr>
        <w:t>Funktion</w:t>
      </w:r>
      <w:r>
        <w:rPr>
          <w:rFonts w:ascii="Courier" w:hAnsi="Courier"/>
        </w:rPr>
        <w:tab/>
        <w:t>des Akkusativobjekts:</w:t>
      </w:r>
      <w:r>
        <w:rPr>
          <w:rFonts w:ascii="Courier" w:hAnsi="Courier"/>
        </w:rPr>
        <w:tab/>
        <w:t xml:space="preserve">Ergänzung des Satzes, auf welche sich 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der Vorgang des Prädika</w:t>
      </w:r>
      <w:r>
        <w:rPr>
          <w:rFonts w:ascii="Courier" w:hAnsi="Courier"/>
        </w:rPr>
        <w:t>ts richtet:</w:t>
      </w:r>
    </w:p>
    <w:p w:rsidR="007C2E29" w:rsidRDefault="00761C60">
      <w:pPr>
        <w:tabs>
          <w:tab w:val="left" w:pos="1380"/>
          <w:tab w:val="left" w:pos="4520"/>
        </w:tabs>
        <w:spacing w:after="80" w:line="28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noProof/>
        </w:rPr>
        <w:drawing>
          <wp:inline distT="0" distB="0" distL="0" distR="0">
            <wp:extent cx="2404745" cy="1134745"/>
            <wp:effectExtent l="0" t="0" r="825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40474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E29" w:rsidRDefault="00761C60">
      <w:pPr>
        <w:tabs>
          <w:tab w:val="left" w:pos="1380"/>
          <w:tab w:val="left" w:pos="4520"/>
        </w:tabs>
        <w:spacing w:after="80" w:line="280" w:lineRule="atLeast"/>
        <w:rPr>
          <w:rFonts w:ascii="Courier" w:hAnsi="Courier"/>
        </w:rPr>
      </w:pPr>
    </w:p>
    <w:p w:rsidR="007C2E29" w:rsidRDefault="00761C60">
      <w:pPr>
        <w:tabs>
          <w:tab w:val="left" w:pos="980"/>
        </w:tabs>
        <w:spacing w:after="80" w:line="280" w:lineRule="atLeast"/>
        <w:rPr>
          <w:rFonts w:ascii="Courier" w:hAnsi="Courier"/>
        </w:rPr>
      </w:pPr>
      <w:r>
        <w:rPr>
          <w:rFonts w:ascii="Courier" w:hAnsi="Courier"/>
          <w:u w:val="single"/>
        </w:rPr>
        <w:t>Merke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 xml:space="preserve">Nicht alle Verben und damit nicht alle Prädikate können ein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Akkusativobjekt bei sich haben, z.B. nicht: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"lachen", "schwimmen", "kommen", "gehorchen".</w:t>
      </w:r>
    </w:p>
    <w:p w:rsidR="007C2E29" w:rsidRDefault="00761C60">
      <w:pPr>
        <w:tabs>
          <w:tab w:val="left" w:pos="980"/>
        </w:tabs>
        <w:rPr>
          <w:rFonts w:ascii="Courier" w:hAnsi="Courier"/>
          <w:sz w:val="20"/>
        </w:rPr>
      </w:pPr>
    </w:p>
    <w:p w:rsidR="007C2E29" w:rsidRDefault="00761C60">
      <w:pPr>
        <w:tabs>
          <w:tab w:val="left" w:pos="980"/>
          <w:tab w:val="left" w:pos="6740"/>
        </w:tabs>
        <w:spacing w:after="80" w:line="280" w:lineRule="atLeast"/>
        <w:rPr>
          <w:rFonts w:ascii="Courier" w:hAnsi="Courier"/>
        </w:rPr>
      </w:pPr>
      <w:r>
        <w:rPr>
          <w:rFonts w:ascii="Courier" w:hAnsi="Courier"/>
        </w:rPr>
        <w:tab/>
        <w:t>Bezeichnungen:</w:t>
      </w:r>
    </w:p>
    <w:p w:rsidR="007C2E29" w:rsidRDefault="00761C60">
      <w:pPr>
        <w:tabs>
          <w:tab w:val="left" w:pos="980"/>
          <w:tab w:val="left" w:pos="1400"/>
          <w:tab w:val="left" w:pos="6480"/>
        </w:tabs>
        <w:spacing w:after="80" w:line="28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Verben, die </w:t>
      </w:r>
      <w:r>
        <w:rPr>
          <w:rFonts w:ascii="Courier" w:hAnsi="Courier"/>
          <w:u w:val="single"/>
        </w:rPr>
        <w:t>ein AO</w:t>
      </w:r>
      <w:r>
        <w:rPr>
          <w:rFonts w:ascii="Courier" w:hAnsi="Courier"/>
        </w:rPr>
        <w:t xml:space="preserve"> haben können: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transitive Verben</w:t>
      </w:r>
      <w:r>
        <w:rPr>
          <w:rFonts w:ascii="Courier" w:hAnsi="Courier"/>
        </w:rPr>
        <w:t>;</w:t>
      </w:r>
    </w:p>
    <w:p w:rsidR="007C2E29" w:rsidRDefault="00761C60">
      <w:pPr>
        <w:tabs>
          <w:tab w:val="left" w:pos="980"/>
          <w:tab w:val="left" w:pos="1380"/>
          <w:tab w:val="left" w:pos="4520"/>
          <w:tab w:val="left" w:pos="6480"/>
        </w:tabs>
        <w:spacing w:after="80" w:line="28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Verbe</w:t>
      </w:r>
      <w:r>
        <w:rPr>
          <w:rFonts w:ascii="Courier" w:hAnsi="Courier"/>
        </w:rPr>
        <w:t xml:space="preserve">n, die </w:t>
      </w:r>
      <w:r>
        <w:rPr>
          <w:rFonts w:ascii="Courier" w:hAnsi="Courier"/>
          <w:u w:val="single"/>
        </w:rPr>
        <w:t>kein AO</w:t>
      </w:r>
      <w:r>
        <w:rPr>
          <w:rFonts w:ascii="Courier" w:hAnsi="Courier"/>
        </w:rPr>
        <w:t xml:space="preserve"> haben können: 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intransitive Verben</w:t>
      </w:r>
      <w:r>
        <w:rPr>
          <w:rFonts w:ascii="Courier" w:hAnsi="Courier"/>
        </w:rPr>
        <w:t>.</w:t>
      </w:r>
    </w:p>
    <w:sectPr w:rsidR="007C2E29">
      <w:pgSz w:w="11880" w:h="16800"/>
      <w:pgMar w:top="1021" w:right="1021" w:bottom="851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7C2E29"/>
    <w:rsid w:val="00761C6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7" Type="http://schemas.openxmlformats.org/officeDocument/2006/relationships/image" Target="media/image3.png"/><Relationship Id="rId11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8" Type="http://schemas.openxmlformats.org/officeDocument/2006/relationships/image" Target="media/image4.pict"/><Relationship Id="rId13" Type="http://schemas.openxmlformats.org/officeDocument/2006/relationships/theme" Target="theme/theme1.xml"/><Relationship Id="rId10" Type="http://schemas.openxmlformats.org/officeDocument/2006/relationships/image" Target="media/image5.pdf"/><Relationship Id="rId5" Type="http://schemas.openxmlformats.org/officeDocument/2006/relationships/image" Target="media/image2.pict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9" Type="http://schemas.openxmlformats.org/officeDocument/2006/relationships/oleObject" Target="embeddings/oleObject2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9</vt:lpstr>
    </vt:vector>
  </TitlesOfParts>
  <Company>cheironos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9</dc:title>
  <dc:subject/>
  <dc:creator>Theo Wirth</dc:creator>
  <cp:keywords/>
  <cp:lastModifiedBy>Theo Wirth</cp:lastModifiedBy>
  <cp:revision>2</cp:revision>
  <dcterms:created xsi:type="dcterms:W3CDTF">2009-11-23T20:04:00Z</dcterms:created>
  <dcterms:modified xsi:type="dcterms:W3CDTF">2009-11-23T20:04:00Z</dcterms:modified>
</cp:coreProperties>
</file>