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4156F" w14:textId="77777777" w:rsidR="00CE74C9" w:rsidRDefault="00990599" w:rsidP="00CE74C9">
      <w:pPr>
        <w:pBdr>
          <w:bottom w:val="single" w:sz="12" w:space="2" w:color="auto"/>
        </w:pBdr>
        <w:tabs>
          <w:tab w:val="left" w:pos="1701"/>
          <w:tab w:val="left" w:pos="8440"/>
        </w:tabs>
        <w:spacing w:line="260" w:lineRule="atLeast"/>
        <w:ind w:right="-15"/>
        <w:rPr>
          <w:rFonts w:ascii="Courier" w:hAnsi="Courier"/>
          <w:b/>
        </w:rPr>
      </w:pPr>
      <w:r>
        <w:rPr>
          <w:rFonts w:ascii="Courier" w:hAnsi="Courier"/>
          <w:b/>
        </w:rPr>
        <w:t>§ 4.1.4.5</w:t>
      </w:r>
      <w:r>
        <w:rPr>
          <w:rFonts w:ascii="Courier" w:hAnsi="Courier"/>
          <w:b/>
        </w:rPr>
        <w:tab/>
        <w:t>Diachrone Betrachtung der 3. Deklination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19)</w:t>
      </w:r>
    </w:p>
    <w:p w14:paraId="0FD7318C" w14:textId="77777777" w:rsidR="00CE74C9" w:rsidRDefault="003A1CD0">
      <w:pPr>
        <w:rPr>
          <w:rFonts w:ascii="Courier" w:hAnsi="Courier"/>
          <w:sz w:val="14"/>
          <w:szCs w:val="14"/>
        </w:rPr>
      </w:pPr>
    </w:p>
    <w:p w14:paraId="4D9482D4" w14:textId="77777777" w:rsidR="00CE74C9" w:rsidRDefault="00990599">
      <w:pPr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1. Vorbemerkung</w:t>
      </w:r>
    </w:p>
    <w:p w14:paraId="556BD6FB" w14:textId="77777777" w:rsidR="00CE74C9" w:rsidRDefault="00990599">
      <w:pPr>
        <w:spacing w:line="260" w:lineRule="atLeast"/>
        <w:rPr>
          <w:rFonts w:ascii="Courier" w:hAnsi="Courier"/>
        </w:rPr>
      </w:pPr>
      <w:r>
        <w:rPr>
          <w:rFonts w:ascii="Courier" w:hAnsi="Courier"/>
        </w:rPr>
        <w:t xml:space="preserve">Sprachliche und andere Erscheinungen lassen sich auf zwei </w:t>
      </w:r>
      <w:proofErr w:type="spellStart"/>
      <w:r>
        <w:rPr>
          <w:rFonts w:ascii="Courier" w:hAnsi="Courier"/>
        </w:rPr>
        <w:t>verschie-dene</w:t>
      </w:r>
      <w:proofErr w:type="spellEnd"/>
      <w:r>
        <w:rPr>
          <w:rFonts w:ascii="Courier" w:hAnsi="Courier"/>
        </w:rPr>
        <w:t xml:space="preserve"> Arten betrachten (entsprechend fallen die Resultate verschieden aus, s. Anm. 1):</w:t>
      </w:r>
    </w:p>
    <w:p w14:paraId="25233E77" w14:textId="77777777" w:rsidR="00CE74C9" w:rsidRDefault="003A1CD0">
      <w:pPr>
        <w:rPr>
          <w:rFonts w:ascii="Courier" w:hAnsi="Courier"/>
          <w:sz w:val="14"/>
          <w:szCs w:val="14"/>
        </w:rPr>
      </w:pPr>
    </w:p>
    <w:p w14:paraId="5420288E" w14:textId="77777777" w:rsidR="00CE74C9" w:rsidRDefault="00990599" w:rsidP="00CE74C9">
      <w:pPr>
        <w:spacing w:line="260" w:lineRule="atLeast"/>
        <w:ind w:left="560" w:right="-198" w:hanging="560"/>
        <w:rPr>
          <w:rFonts w:ascii="Courier" w:hAnsi="Courier"/>
        </w:rPr>
      </w:pPr>
      <w:r>
        <w:rPr>
          <w:rFonts w:ascii="Courier" w:hAnsi="Courier"/>
        </w:rPr>
        <w:t xml:space="preserve">1.1 Entweder legt man an </w:t>
      </w:r>
      <w:r>
        <w:rPr>
          <w:rFonts w:ascii="Courier" w:hAnsi="Courier"/>
          <w:u w:val="single"/>
        </w:rPr>
        <w:t>einem Punkt</w:t>
      </w:r>
      <w:r>
        <w:rPr>
          <w:rFonts w:ascii="Courier" w:hAnsi="Courier"/>
        </w:rPr>
        <w:t xml:space="preserve"> einen </w:t>
      </w:r>
      <w:r>
        <w:rPr>
          <w:rFonts w:ascii="Courier" w:hAnsi="Courier"/>
          <w:u w:val="single"/>
        </w:rPr>
        <w:t>zeitlichen Querschnitt</w:t>
      </w:r>
      <w:r>
        <w:rPr>
          <w:rFonts w:ascii="Courier" w:hAnsi="Courier"/>
        </w:rPr>
        <w:t xml:space="preserve"> durch die betr. Erscheinungen und beschreibt, </w:t>
      </w:r>
      <w:r>
        <w:rPr>
          <w:rFonts w:ascii="Courier" w:hAnsi="Courier"/>
          <w:u w:val="single"/>
        </w:rPr>
        <w:t>wie sie zu diesem Zeitpunkt ausgesehen haben</w:t>
      </w:r>
      <w:r>
        <w:rPr>
          <w:rFonts w:ascii="Courier" w:hAnsi="Courier"/>
        </w:rPr>
        <w:t>. Diese "horizontale" Betrachtungsweise nennt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</w:rPr>
        <w:t>man</w:t>
      </w:r>
      <w:r>
        <w:rPr>
          <w:rFonts w:ascii="Courier" w:hAnsi="Courier"/>
          <w:sz w:val="20"/>
        </w:rPr>
        <w:t xml:space="preserve"> </w:t>
      </w:r>
      <w:r>
        <w:rPr>
          <w:rFonts w:ascii="Courier" w:hAnsi="Courier"/>
          <w:u w:val="single"/>
        </w:rPr>
        <w:t>deskriptiv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0"/>
        </w:rPr>
        <w:t>(beschreibend)</w:t>
      </w:r>
      <w:r>
        <w:rPr>
          <w:rFonts w:ascii="Courier" w:hAnsi="Courier"/>
        </w:rPr>
        <w:t xml:space="preserve"> oder </w:t>
      </w:r>
      <w:r>
        <w:rPr>
          <w:rFonts w:ascii="Courier" w:hAnsi="Courier"/>
          <w:b/>
          <w:u w:val="single"/>
        </w:rPr>
        <w:t>synchron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2"/>
          <w:szCs w:val="22"/>
        </w:rPr>
        <w:t>(gleichzeitig)</w:t>
      </w:r>
      <w:r>
        <w:rPr>
          <w:rFonts w:ascii="Courier" w:hAnsi="Courier"/>
        </w:rPr>
        <w:t>.</w:t>
      </w:r>
    </w:p>
    <w:p w14:paraId="70C0BACE" w14:textId="77777777" w:rsidR="00CE74C9" w:rsidRDefault="003A1CD0">
      <w:pPr>
        <w:rPr>
          <w:rFonts w:ascii="Courier" w:hAnsi="Courier"/>
          <w:sz w:val="14"/>
          <w:szCs w:val="14"/>
        </w:rPr>
      </w:pPr>
    </w:p>
    <w:p w14:paraId="2CCB6E44" w14:textId="77777777" w:rsidR="00CE74C9" w:rsidRDefault="00990599">
      <w:pPr>
        <w:spacing w:line="260" w:lineRule="atLeast"/>
        <w:ind w:left="560" w:hanging="560"/>
        <w:rPr>
          <w:rFonts w:ascii="Courier" w:hAnsi="Courier"/>
        </w:rPr>
      </w:pPr>
      <w:r>
        <w:rPr>
          <w:rFonts w:ascii="Courier" w:hAnsi="Courier"/>
        </w:rPr>
        <w:t xml:space="preserve">1.2 Oder man betrachtet die einzelnen Erscheinungen daraufhin, </w:t>
      </w:r>
      <w:r>
        <w:rPr>
          <w:rFonts w:ascii="Courier" w:hAnsi="Courier"/>
          <w:u w:val="single"/>
        </w:rPr>
        <w:t>wie sie sich im Laufe der Zeit entwickelt haben</w:t>
      </w:r>
      <w:r>
        <w:rPr>
          <w:rFonts w:ascii="Courier" w:hAnsi="Courier"/>
        </w:rPr>
        <w:t xml:space="preserve">. Diese "vertikale" Betrachtungsweise nennt man </w:t>
      </w:r>
      <w:r>
        <w:rPr>
          <w:rFonts w:ascii="Courier" w:hAnsi="Courier"/>
          <w:u w:val="single"/>
        </w:rPr>
        <w:t>historisch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2"/>
          <w:szCs w:val="22"/>
        </w:rPr>
        <w:t>(geschichtlich)</w:t>
      </w:r>
      <w:r>
        <w:rPr>
          <w:rFonts w:ascii="Courier" w:hAnsi="Courier"/>
        </w:rPr>
        <w:t xml:space="preserve"> oder </w:t>
      </w:r>
      <w:r>
        <w:rPr>
          <w:rFonts w:ascii="Courier" w:hAnsi="Courier"/>
          <w:b/>
          <w:u w:val="single"/>
        </w:rPr>
        <w:t>diachron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0"/>
        </w:rPr>
        <w:t>(durch die Zeit hindurch)</w:t>
      </w:r>
      <w:r>
        <w:rPr>
          <w:rFonts w:ascii="Courier" w:hAnsi="Courier"/>
        </w:rPr>
        <w:t>:</w:t>
      </w:r>
    </w:p>
    <w:p w14:paraId="1352033E" w14:textId="27BCB053" w:rsidR="00CE74C9" w:rsidRDefault="00990599" w:rsidP="008E3431">
      <w:pPr>
        <w:spacing w:line="260" w:lineRule="atLeast"/>
        <w:ind w:left="567"/>
        <w:rPr>
          <w:rFonts w:ascii="Courier" w:hAnsi="Courier"/>
        </w:rPr>
      </w:pPr>
      <w:r>
        <w:rPr>
          <w:rFonts w:ascii="Courier" w:hAnsi="Courier"/>
        </w:rPr>
        <w:tab/>
      </w:r>
      <w:r w:rsidR="008E3431">
        <w:rPr>
          <w:rFonts w:ascii="Courier" w:hAnsi="Courier"/>
          <w:noProof/>
        </w:rPr>
        <w:drawing>
          <wp:inline distT="0" distB="0" distL="0" distR="0" wp14:anchorId="0CC53486" wp14:editId="14934CB9">
            <wp:extent cx="3190775" cy="157192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783" cy="159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32183" w14:textId="77777777" w:rsidR="00CE74C9" w:rsidRDefault="00990599">
      <w:pPr>
        <w:spacing w:line="260" w:lineRule="atLeast"/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2. Diachrone Betrachtung der 3. Deklination</w:t>
      </w:r>
    </w:p>
    <w:p w14:paraId="2C397D13" w14:textId="77777777" w:rsidR="00CE74C9" w:rsidRDefault="003A1CD0">
      <w:pPr>
        <w:rPr>
          <w:rFonts w:ascii="Courier" w:hAnsi="Courier"/>
          <w:sz w:val="14"/>
          <w:szCs w:val="14"/>
        </w:rPr>
      </w:pPr>
    </w:p>
    <w:p w14:paraId="34801D9E" w14:textId="77777777" w:rsidR="00CE74C9" w:rsidRDefault="00990599" w:rsidP="00CE74C9">
      <w:pPr>
        <w:spacing w:line="260" w:lineRule="atLeast"/>
        <w:ind w:right="-481"/>
        <w:rPr>
          <w:rFonts w:ascii="Courier" w:hAnsi="Courier"/>
        </w:rPr>
      </w:pPr>
      <w:r>
        <w:rPr>
          <w:rFonts w:ascii="Courier" w:hAnsi="Courier"/>
          <w:u w:val="single"/>
        </w:rPr>
        <w:t>Nach der synchronen Betrachtung der 3. Deklination in den §§ 4.1.4.1 bis 4.1.4.4</w:t>
      </w:r>
      <w:r>
        <w:rPr>
          <w:rFonts w:ascii="Courier" w:hAnsi="Courier"/>
        </w:rPr>
        <w:t xml:space="preserve"> (d.h. wie die 3. Deklination etwa in der 2. Hälfte des 1. Jahrhunderts v.Chr. für einen Römer ausgesehen hat) folgt nun kurz die </w:t>
      </w:r>
      <w:r>
        <w:rPr>
          <w:rFonts w:ascii="Courier" w:hAnsi="Courier"/>
          <w:u w:val="single"/>
        </w:rPr>
        <w:t>diachrone Darstellung</w:t>
      </w:r>
      <w:r>
        <w:rPr>
          <w:rFonts w:ascii="Courier" w:hAnsi="Courier"/>
        </w:rPr>
        <w:t>:</w:t>
      </w:r>
    </w:p>
    <w:p w14:paraId="31FCF677" w14:textId="77777777" w:rsidR="00CE74C9" w:rsidRDefault="003A1CD0">
      <w:pPr>
        <w:rPr>
          <w:rFonts w:ascii="Courier" w:hAnsi="Courier"/>
          <w:sz w:val="14"/>
          <w:szCs w:val="14"/>
        </w:rPr>
      </w:pPr>
    </w:p>
    <w:p w14:paraId="5087F252" w14:textId="77777777" w:rsidR="00CE74C9" w:rsidRDefault="00990599">
      <w:pPr>
        <w:spacing w:line="260" w:lineRule="atLeast"/>
        <w:ind w:left="560" w:hanging="560"/>
        <w:rPr>
          <w:rFonts w:ascii="Courier" w:hAnsi="Courier"/>
        </w:rPr>
      </w:pPr>
      <w:r>
        <w:rPr>
          <w:rFonts w:ascii="Courier" w:hAnsi="Courier"/>
        </w:rPr>
        <w:t xml:space="preserve">2.1 Die Substantive und die Adjektive der 3. Deklination waren </w:t>
      </w:r>
      <w:r>
        <w:rPr>
          <w:rFonts w:ascii="Courier" w:hAnsi="Courier"/>
          <w:u w:val="single"/>
        </w:rPr>
        <w:t>ur-</w:t>
      </w:r>
      <w:proofErr w:type="spellStart"/>
      <w:r>
        <w:rPr>
          <w:rFonts w:ascii="Courier" w:hAnsi="Courier"/>
          <w:u w:val="single"/>
        </w:rPr>
        <w:t>sprünglich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grösstenteils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b/>
          <w:u w:val="single"/>
        </w:rPr>
        <w:t>Konsonantstämme</w:t>
      </w:r>
      <w:proofErr w:type="spellEnd"/>
      <w:r>
        <w:rPr>
          <w:rFonts w:ascii="Courier" w:hAnsi="Courier"/>
          <w:b/>
          <w:u w:val="single"/>
        </w:rPr>
        <w:t xml:space="preserve"> oder i-Stämme</w:t>
      </w:r>
      <w:r>
        <w:rPr>
          <w:rFonts w:ascii="Courier" w:hAnsi="Courier"/>
        </w:rPr>
        <w:t xml:space="preserve">; das erkennt man bei </w:t>
      </w:r>
      <w:proofErr w:type="spellStart"/>
      <w:r>
        <w:rPr>
          <w:rFonts w:ascii="Courier" w:hAnsi="Courier"/>
        </w:rPr>
        <w:t>gleichmässiger</w:t>
      </w:r>
      <w:proofErr w:type="spellEnd"/>
      <w:r>
        <w:rPr>
          <w:rFonts w:ascii="Courier" w:hAnsi="Courier"/>
        </w:rPr>
        <w:t xml:space="preserve"> Abtrennung der Endungen: </w:t>
      </w:r>
      <w:r>
        <w:rPr>
          <w:rFonts w:ascii="Courier" w:hAnsi="Courier"/>
        </w:rPr>
        <w:br/>
        <w:t xml:space="preserve">Gen.Pl. </w:t>
      </w:r>
      <w:proofErr w:type="spellStart"/>
      <w:r>
        <w:rPr>
          <w:rFonts w:ascii="Courier" w:hAnsi="Courier"/>
        </w:rPr>
        <w:t>consu</w:t>
      </w:r>
      <w:r>
        <w:rPr>
          <w:rFonts w:ascii="Courier" w:hAnsi="Courier"/>
          <w:b/>
          <w:u w:val="single"/>
        </w:rPr>
        <w:t>l</w:t>
      </w:r>
      <w:proofErr w:type="spellEnd"/>
      <w:r>
        <w:rPr>
          <w:rFonts w:ascii="Courier" w:hAnsi="Courier"/>
        </w:rPr>
        <w:t xml:space="preserve">   , </w:t>
      </w:r>
      <w:proofErr w:type="spellStart"/>
      <w:r>
        <w:rPr>
          <w:rFonts w:ascii="Courier" w:hAnsi="Courier"/>
        </w:rPr>
        <w:t>civ</w:t>
      </w:r>
      <w:r>
        <w:rPr>
          <w:rFonts w:ascii="Courier" w:hAnsi="Courier"/>
          <w:b/>
          <w:u w:val="single"/>
        </w:rPr>
        <w:t>i</w:t>
      </w:r>
      <w:proofErr w:type="spellEnd"/>
      <w:r>
        <w:rPr>
          <w:rFonts w:ascii="Courier" w:hAnsi="Courier"/>
        </w:rPr>
        <w:t xml:space="preserve">    </w:t>
      </w:r>
      <w:r>
        <w:rPr>
          <w:rStyle w:val="Funotenzeichen"/>
        </w:rPr>
        <w:footnoteReference w:id="1"/>
      </w:r>
      <w:r>
        <w:rPr>
          <w:rFonts w:ascii="Courier" w:hAnsi="Courier"/>
        </w:rPr>
        <w:t>.</w:t>
      </w:r>
    </w:p>
    <w:p w14:paraId="0A680B62" w14:textId="77777777" w:rsidR="00CE74C9" w:rsidRDefault="003A1CD0">
      <w:pPr>
        <w:rPr>
          <w:rFonts w:ascii="Courier" w:hAnsi="Courier"/>
          <w:sz w:val="14"/>
          <w:szCs w:val="14"/>
        </w:rPr>
      </w:pPr>
    </w:p>
    <w:p w14:paraId="54896F0A" w14:textId="77777777" w:rsidR="00CE74C9" w:rsidRDefault="00990599">
      <w:pPr>
        <w:spacing w:line="260" w:lineRule="atLeast"/>
        <w:ind w:left="560" w:hanging="560"/>
        <w:rPr>
          <w:rFonts w:ascii="Courier" w:hAnsi="Courier"/>
        </w:rPr>
      </w:pPr>
      <w:r>
        <w:rPr>
          <w:rFonts w:ascii="Courier" w:hAnsi="Courier"/>
        </w:rPr>
        <w:t xml:space="preserve">2.2 Diese beiden Stammtypen wurden im Laufe der Zeit </w:t>
      </w:r>
      <w:r>
        <w:rPr>
          <w:rFonts w:ascii="Courier" w:hAnsi="Courier"/>
          <w:u w:val="single"/>
        </w:rPr>
        <w:t>durcheinander gebracht</w:t>
      </w:r>
      <w:r>
        <w:rPr>
          <w:rFonts w:ascii="Courier" w:hAnsi="Courier"/>
        </w:rPr>
        <w:t xml:space="preserve">, es fanden </w:t>
      </w:r>
      <w:r>
        <w:rPr>
          <w:rFonts w:ascii="Courier" w:hAnsi="Courier"/>
          <w:u w:val="single"/>
        </w:rPr>
        <w:t xml:space="preserve">gegenseitige </w:t>
      </w:r>
      <w:proofErr w:type="spellStart"/>
      <w:r>
        <w:rPr>
          <w:rFonts w:ascii="Courier" w:hAnsi="Courier"/>
          <w:u w:val="single"/>
        </w:rPr>
        <w:t>Uebernahmen</w:t>
      </w:r>
      <w:proofErr w:type="spellEnd"/>
      <w:r>
        <w:rPr>
          <w:rFonts w:ascii="Courier" w:hAnsi="Courier"/>
          <w:u w:val="single"/>
        </w:rPr>
        <w:t xml:space="preserve"> von Endungen</w:t>
      </w:r>
      <w:r>
        <w:rPr>
          <w:rFonts w:ascii="Courier" w:hAnsi="Courier"/>
        </w:rPr>
        <w:t xml:space="preserve"> statt</w:t>
      </w:r>
      <w:r>
        <w:rPr>
          <w:rStyle w:val="Funotenzeichen"/>
        </w:rPr>
        <w:footnoteReference w:id="2"/>
      </w:r>
      <w:r>
        <w:rPr>
          <w:rFonts w:ascii="Courier" w:hAnsi="Courier"/>
        </w:rPr>
        <w:t xml:space="preserve">. Das Resultat war eine </w:t>
      </w:r>
      <w:r>
        <w:rPr>
          <w:rFonts w:ascii="Courier" w:hAnsi="Courier"/>
          <w:b/>
          <w:u w:val="single"/>
        </w:rPr>
        <w:t>Mischdeklination</w:t>
      </w:r>
      <w:r>
        <w:rPr>
          <w:rFonts w:ascii="Courier" w:hAnsi="Courier"/>
        </w:rPr>
        <w:t>.</w:t>
      </w:r>
    </w:p>
    <w:p w14:paraId="3775B491" w14:textId="77777777" w:rsidR="00CE74C9" w:rsidRDefault="003A1CD0">
      <w:pPr>
        <w:rPr>
          <w:rFonts w:ascii="Courier" w:hAnsi="Courier"/>
          <w:sz w:val="14"/>
          <w:szCs w:val="14"/>
        </w:rPr>
      </w:pPr>
    </w:p>
    <w:p w14:paraId="399CE1AA" w14:textId="77777777" w:rsidR="00CE74C9" w:rsidRDefault="00990599" w:rsidP="00CE74C9">
      <w:pPr>
        <w:spacing w:line="260" w:lineRule="atLeast"/>
        <w:ind w:left="560" w:right="-198" w:hanging="560"/>
      </w:pPr>
      <w:r>
        <w:rPr>
          <w:rFonts w:ascii="Courier" w:hAnsi="Courier"/>
        </w:rPr>
        <w:t xml:space="preserve">2.3 </w:t>
      </w:r>
      <w:proofErr w:type="spellStart"/>
      <w:r>
        <w:rPr>
          <w:rFonts w:ascii="Courier" w:hAnsi="Courier"/>
        </w:rPr>
        <w:t>Schliesslich</w:t>
      </w:r>
      <w:proofErr w:type="spellEnd"/>
      <w:r>
        <w:rPr>
          <w:rFonts w:ascii="Courier" w:hAnsi="Courier"/>
        </w:rPr>
        <w:t xml:space="preserve"> bildete sich eine </w:t>
      </w:r>
      <w:r>
        <w:rPr>
          <w:rFonts w:ascii="Courier" w:hAnsi="Courier"/>
          <w:u w:val="single"/>
        </w:rPr>
        <w:t>neue Gruppierung</w:t>
      </w:r>
      <w:r>
        <w:rPr>
          <w:rFonts w:ascii="Courier" w:hAnsi="Courier"/>
        </w:rPr>
        <w:t xml:space="preserve"> heraus, nämlich nach </w:t>
      </w:r>
      <w:r>
        <w:rPr>
          <w:rFonts w:ascii="Courier" w:hAnsi="Courier"/>
          <w:b/>
          <w:u w:val="single"/>
        </w:rPr>
        <w:t>Substantiven und Adjektiven</w:t>
      </w:r>
      <w:r>
        <w:rPr>
          <w:rFonts w:ascii="Courier" w:hAnsi="Courier"/>
        </w:rPr>
        <w:t>:</w:t>
      </w:r>
      <w:r>
        <w:rPr>
          <w:rFonts w:ascii="Courier" w:hAnsi="Courier"/>
        </w:rPr>
        <w:br/>
        <w:t xml:space="preserve">- die </w:t>
      </w:r>
      <w:r>
        <w:rPr>
          <w:rFonts w:ascii="Courier" w:hAnsi="Courier"/>
          <w:u w:val="single"/>
        </w:rPr>
        <w:t>Substantive</w:t>
      </w:r>
      <w:r>
        <w:rPr>
          <w:rFonts w:ascii="Courier" w:hAnsi="Courier"/>
        </w:rPr>
        <w:t xml:space="preserve"> deklinierten eher </w:t>
      </w:r>
      <w:r>
        <w:rPr>
          <w:rFonts w:ascii="Courier" w:hAnsi="Courier"/>
          <w:u w:val="single"/>
        </w:rPr>
        <w:t xml:space="preserve">nach der einstigen </w:t>
      </w:r>
      <w:proofErr w:type="spellStart"/>
      <w:r>
        <w:rPr>
          <w:rFonts w:ascii="Courier" w:hAnsi="Courier"/>
          <w:u w:val="single"/>
        </w:rPr>
        <w:t>konsonan</w:t>
      </w:r>
      <w:proofErr w:type="spellEnd"/>
      <w:r>
        <w:rPr>
          <w:rFonts w:ascii="Courier" w:hAnsi="Courier"/>
          <w:u w:val="single"/>
        </w:rPr>
        <w:t>-</w:t>
      </w:r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 xml:space="preserve">  </w:t>
      </w:r>
      <w:r>
        <w:rPr>
          <w:rFonts w:ascii="Courier" w:hAnsi="Courier"/>
          <w:u w:val="single"/>
        </w:rPr>
        <w:t>tischen Deklination</w:t>
      </w:r>
      <w:r>
        <w:rPr>
          <w:rStyle w:val="Funotenzeichen"/>
        </w:rPr>
        <w:footnoteReference w:id="3"/>
      </w:r>
      <w:r>
        <w:rPr>
          <w:rFonts w:ascii="Courier" w:hAnsi="Courier"/>
        </w:rPr>
        <w:t>, s. das Normalschema;</w:t>
      </w:r>
      <w:r>
        <w:rPr>
          <w:rFonts w:ascii="Courier" w:hAnsi="Courier"/>
        </w:rPr>
        <w:br/>
        <w:t xml:space="preserve">- die </w:t>
      </w:r>
      <w:r>
        <w:rPr>
          <w:rFonts w:ascii="Courier" w:hAnsi="Courier"/>
          <w:u w:val="single"/>
        </w:rPr>
        <w:t>Adjektive</w:t>
      </w:r>
      <w:r>
        <w:rPr>
          <w:rFonts w:ascii="Courier" w:hAnsi="Courier"/>
        </w:rPr>
        <w:t xml:space="preserve"> deklinierten eher nach der </w:t>
      </w:r>
      <w:r>
        <w:rPr>
          <w:rFonts w:ascii="Courier" w:hAnsi="Courier"/>
          <w:u w:val="single"/>
        </w:rPr>
        <w:t>einstigen i-</w:t>
      </w:r>
      <w:proofErr w:type="spellStart"/>
      <w:r>
        <w:rPr>
          <w:rFonts w:ascii="Courier" w:hAnsi="Courier"/>
          <w:u w:val="single"/>
        </w:rPr>
        <w:t>Deklina</w:t>
      </w:r>
      <w:proofErr w:type="spellEnd"/>
      <w:r>
        <w:rPr>
          <w:rFonts w:ascii="Courier" w:hAnsi="Courier"/>
          <w:u w:val="single"/>
        </w:rPr>
        <w:t>-</w:t>
      </w:r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 xml:space="preserve">  </w:t>
      </w:r>
      <w:proofErr w:type="spellStart"/>
      <w:r>
        <w:rPr>
          <w:rFonts w:ascii="Courier" w:hAnsi="Courier"/>
          <w:u w:val="single"/>
        </w:rPr>
        <w:t>tion</w:t>
      </w:r>
      <w:proofErr w:type="spellEnd"/>
      <w:r>
        <w:rPr>
          <w:rStyle w:val="Funotenzeichen"/>
        </w:rPr>
        <w:footnoteReference w:id="4"/>
      </w:r>
      <w:r>
        <w:rPr>
          <w:rFonts w:ascii="Courier" w:hAnsi="Courier"/>
        </w:rPr>
        <w:t>, s. das Normalschema.</w:t>
      </w:r>
    </w:p>
    <w:sectPr w:rsidR="00CE74C9">
      <w:pgSz w:w="11880" w:h="16840"/>
      <w:pgMar w:top="851" w:right="1021" w:bottom="794" w:left="1134" w:header="1077" w:footer="107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06E5F" w14:textId="77777777" w:rsidR="003A1CD0" w:rsidRDefault="003A1CD0">
      <w:r>
        <w:separator/>
      </w:r>
    </w:p>
  </w:endnote>
  <w:endnote w:type="continuationSeparator" w:id="0">
    <w:p w14:paraId="3011A438" w14:textId="77777777" w:rsidR="003A1CD0" w:rsidRDefault="003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25646" w14:textId="77777777" w:rsidR="003A1CD0" w:rsidRDefault="003A1CD0">
      <w:r>
        <w:separator/>
      </w:r>
    </w:p>
  </w:footnote>
  <w:footnote w:type="continuationSeparator" w:id="0">
    <w:p w14:paraId="6B2F70FF" w14:textId="77777777" w:rsidR="003A1CD0" w:rsidRDefault="003A1CD0">
      <w:r>
        <w:continuationSeparator/>
      </w:r>
    </w:p>
  </w:footnote>
  <w:footnote w:id="1">
    <w:p w14:paraId="1C72584E" w14:textId="77777777" w:rsidR="00CE74C9" w:rsidRDefault="00990599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 diachroner Betrachtung trennen wir -   als Endung ab, bei synchroner -    !</w:t>
      </w:r>
    </w:p>
  </w:footnote>
  <w:footnote w:id="2">
    <w:p w14:paraId="69B27C8E" w14:textId="77777777" w:rsidR="00CE74C9" w:rsidRDefault="003A1CD0">
      <w:pPr>
        <w:rPr>
          <w:rFonts w:ascii="Courier" w:hAnsi="Courier"/>
          <w:sz w:val="14"/>
          <w:szCs w:val="14"/>
        </w:rPr>
      </w:pPr>
    </w:p>
    <w:p w14:paraId="7F6133B7" w14:textId="77777777" w:rsidR="00CE74C9" w:rsidRDefault="00990599" w:rsidP="00CE74C9">
      <w:pPr>
        <w:pStyle w:val="Funotentext"/>
        <w:tabs>
          <w:tab w:val="left" w:pos="1560"/>
        </w:tabs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Beispiele:</w:t>
      </w:r>
      <w:r>
        <w:rPr>
          <w:rFonts w:ascii="Courier" w:hAnsi="Courier"/>
        </w:rPr>
        <w:tab/>
        <w:t xml:space="preserve">a) Akk.Pl.-    der </w:t>
      </w:r>
      <w:proofErr w:type="spellStart"/>
      <w:r>
        <w:rPr>
          <w:rFonts w:ascii="Courier" w:hAnsi="Courier"/>
        </w:rPr>
        <w:t>Konsonantstämme</w:t>
      </w:r>
      <w:proofErr w:type="spellEnd"/>
      <w:r>
        <w:rPr>
          <w:rFonts w:ascii="Courier" w:hAnsi="Courier"/>
        </w:rPr>
        <w:t xml:space="preserve"> drängte -    der i-Stämme zurück.</w:t>
      </w:r>
    </w:p>
    <w:p w14:paraId="4F09F568" w14:textId="77777777" w:rsidR="00CE74C9" w:rsidRDefault="00990599" w:rsidP="00CE74C9">
      <w:pPr>
        <w:pStyle w:val="Funotentext"/>
        <w:tabs>
          <w:tab w:val="left" w:pos="1560"/>
        </w:tabs>
        <w:rPr>
          <w:rFonts w:ascii="Courier" w:hAnsi="Courier"/>
        </w:rPr>
      </w:pPr>
      <w:r>
        <w:rPr>
          <w:rFonts w:ascii="Courier" w:hAnsi="Courier"/>
        </w:rPr>
        <w:tab/>
        <w:t xml:space="preserve">b) Dat./Abl.Pl.-       (falsch abgetrennt!) der i-Stämme bildete den </w:t>
      </w:r>
      <w:r>
        <w:rPr>
          <w:rFonts w:ascii="Courier" w:hAnsi="Courier"/>
        </w:rPr>
        <w:tab/>
        <w:t xml:space="preserve">   Dat./Abl.Pl. der </w:t>
      </w:r>
      <w:proofErr w:type="spellStart"/>
      <w:r>
        <w:rPr>
          <w:rFonts w:ascii="Courier" w:hAnsi="Courier"/>
        </w:rPr>
        <w:t>Konsonantstämme</w:t>
      </w:r>
      <w:proofErr w:type="spellEnd"/>
      <w:r>
        <w:rPr>
          <w:rFonts w:ascii="Courier" w:hAnsi="Courier"/>
        </w:rPr>
        <w:t>.</w:t>
      </w:r>
    </w:p>
  </w:footnote>
  <w:footnote w:id="3">
    <w:p w14:paraId="4C186F6C" w14:textId="77777777" w:rsidR="00CE74C9" w:rsidRDefault="003A1CD0">
      <w:pPr>
        <w:rPr>
          <w:rFonts w:ascii="Courier" w:hAnsi="Courier"/>
          <w:sz w:val="14"/>
          <w:szCs w:val="14"/>
        </w:rPr>
      </w:pPr>
    </w:p>
    <w:p w14:paraId="60775780" w14:textId="77777777" w:rsidR="00CE74C9" w:rsidRDefault="00990599" w:rsidP="00CE74C9">
      <w:pPr>
        <w:pStyle w:val="Funotentext"/>
        <w:tabs>
          <w:tab w:val="left" w:pos="1418"/>
        </w:tabs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Beispiel: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Abl.Sg</w:t>
      </w:r>
      <w:proofErr w:type="spellEnd"/>
      <w:r>
        <w:rPr>
          <w:rFonts w:ascii="Courier" w:hAnsi="Courier"/>
        </w:rPr>
        <w:t xml:space="preserve">.-  und Akk.Pl.-   (der </w:t>
      </w:r>
      <w:proofErr w:type="spellStart"/>
      <w:r>
        <w:rPr>
          <w:rFonts w:ascii="Courier" w:hAnsi="Courier"/>
        </w:rPr>
        <w:t>Konsonantstämme</w:t>
      </w:r>
      <w:proofErr w:type="spellEnd"/>
      <w:r>
        <w:rPr>
          <w:rFonts w:ascii="Courier" w:hAnsi="Courier"/>
        </w:rPr>
        <w:t xml:space="preserve">) verdrängten allmählich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-  und -   (der i-Stämme): </w:t>
      </w:r>
      <w:proofErr w:type="spellStart"/>
      <w:r>
        <w:rPr>
          <w:rFonts w:ascii="Courier" w:hAnsi="Courier"/>
        </w:rPr>
        <w:t>nav</w:t>
      </w:r>
      <w:proofErr w:type="spellEnd"/>
      <w:r>
        <w:rPr>
          <w:rFonts w:ascii="Courier" w:hAnsi="Courier"/>
        </w:rPr>
        <w:t xml:space="preserve">  &gt; </w:t>
      </w:r>
      <w:proofErr w:type="spellStart"/>
      <w:r>
        <w:rPr>
          <w:rFonts w:ascii="Courier" w:hAnsi="Courier"/>
        </w:rPr>
        <w:t>nav</w:t>
      </w:r>
      <w:proofErr w:type="spellEnd"/>
      <w:r>
        <w:rPr>
          <w:rFonts w:ascii="Courier" w:hAnsi="Courier"/>
        </w:rPr>
        <w:t xml:space="preserve">   ; </w:t>
      </w:r>
      <w:proofErr w:type="spellStart"/>
      <w:r>
        <w:rPr>
          <w:rFonts w:ascii="Courier" w:hAnsi="Courier"/>
        </w:rPr>
        <w:t>nav</w:t>
      </w:r>
      <w:proofErr w:type="spellEnd"/>
      <w:r>
        <w:rPr>
          <w:rFonts w:ascii="Courier" w:hAnsi="Courier"/>
        </w:rPr>
        <w:t xml:space="preserve">  &gt; </w:t>
      </w:r>
      <w:proofErr w:type="spellStart"/>
      <w:r>
        <w:rPr>
          <w:rFonts w:ascii="Courier" w:hAnsi="Courier"/>
        </w:rPr>
        <w:t>nav</w:t>
      </w:r>
      <w:proofErr w:type="spellEnd"/>
      <w:r>
        <w:rPr>
          <w:rFonts w:ascii="Courier" w:hAnsi="Courier"/>
        </w:rPr>
        <w:t xml:space="preserve">   .</w:t>
      </w:r>
    </w:p>
  </w:footnote>
  <w:footnote w:id="4">
    <w:p w14:paraId="5D64BE76" w14:textId="77777777" w:rsidR="00CE74C9" w:rsidRDefault="003A1CD0" w:rsidP="00CE74C9">
      <w:pPr>
        <w:tabs>
          <w:tab w:val="left" w:pos="1418"/>
        </w:tabs>
        <w:rPr>
          <w:rFonts w:ascii="Courier" w:hAnsi="Courier"/>
          <w:sz w:val="14"/>
          <w:szCs w:val="14"/>
        </w:rPr>
      </w:pPr>
    </w:p>
    <w:p w14:paraId="7CEBA375" w14:textId="77777777" w:rsidR="00CE74C9" w:rsidRDefault="00990599" w:rsidP="00CE74C9">
      <w:pPr>
        <w:pStyle w:val="Funotentext"/>
        <w:tabs>
          <w:tab w:val="left" w:pos="1418"/>
        </w:tabs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Beispiel:</w:t>
      </w:r>
      <w:r>
        <w:rPr>
          <w:rFonts w:ascii="Courier" w:hAnsi="Courier"/>
        </w:rPr>
        <w:tab/>
        <w:t xml:space="preserve">Die akt. Partizipien der Gleichzeitigkeit waren </w:t>
      </w:r>
      <w:proofErr w:type="spellStart"/>
      <w:r>
        <w:rPr>
          <w:rFonts w:ascii="Courier" w:hAnsi="Courier"/>
        </w:rPr>
        <w:t>Konsonantstämme</w:t>
      </w:r>
      <w:proofErr w:type="spellEnd"/>
      <w:r>
        <w:rPr>
          <w:rFonts w:ascii="Courier" w:hAnsi="Courier"/>
        </w:rPr>
        <w:t xml:space="preserve">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gewesen (Gen.Pl. einst: </w:t>
      </w:r>
      <w:proofErr w:type="spellStart"/>
      <w:r>
        <w:rPr>
          <w:rFonts w:ascii="Courier" w:hAnsi="Courier"/>
        </w:rPr>
        <w:t>laudant</w:t>
      </w:r>
      <w:proofErr w:type="spellEnd"/>
      <w:r>
        <w:rPr>
          <w:rFonts w:ascii="Courier" w:hAnsi="Courier"/>
        </w:rPr>
        <w:t xml:space="preserve">    ), übernahmen aber fast alle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Endungen der i-Stämme.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FBF"/>
    <w:rsid w:val="003A1CD0"/>
    <w:rsid w:val="006F1FBF"/>
    <w:rsid w:val="008E3431"/>
    <w:rsid w:val="009905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9153E"/>
  <w15:docId w15:val="{5B755FC0-CE05-0C4A-B8F1-DE4A731B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Pr>
      <w:position w:val="6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3</cp:revision>
  <dcterms:created xsi:type="dcterms:W3CDTF">2009-12-14T13:00:00Z</dcterms:created>
  <dcterms:modified xsi:type="dcterms:W3CDTF">2022-03-05T20:21:00Z</dcterms:modified>
</cp:coreProperties>
</file>