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9E" w:rsidRDefault="008D1295" w:rsidP="008F6C9E">
      <w:pPr>
        <w:pBdr>
          <w:bottom w:val="single" w:sz="12" w:space="2" w:color="auto"/>
        </w:pBdr>
        <w:tabs>
          <w:tab w:val="left" w:pos="993"/>
          <w:tab w:val="left" w:pos="8080"/>
        </w:tabs>
        <w:spacing w:line="360" w:lineRule="atLeast"/>
        <w:rPr>
          <w:rFonts w:ascii="Courier" w:hAnsi="Courier"/>
          <w:b/>
        </w:rPr>
      </w:pPr>
      <w:r>
        <w:rPr>
          <w:rFonts w:ascii="Courier" w:hAnsi="Courier"/>
          <w:b/>
        </w:rPr>
        <w:t>§ 9.2</w:t>
      </w:r>
      <w:r>
        <w:rPr>
          <w:rFonts w:ascii="Courier" w:hAnsi="Courier"/>
          <w:b/>
        </w:rPr>
        <w:tab/>
        <w:t>Die Kongruenz ("Übereinstimmung")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1)</w:t>
      </w:r>
    </w:p>
    <w:p w:rsidR="008F6C9E" w:rsidRDefault="008D1295">
      <w:pPr>
        <w:spacing w:line="360" w:lineRule="atLeast"/>
        <w:rPr>
          <w:rFonts w:ascii="Courier" w:hAnsi="Courier"/>
        </w:rPr>
      </w:pPr>
    </w:p>
    <w:p w:rsidR="008F6C9E" w:rsidRDefault="008D1295" w:rsidP="008F6C9E">
      <w:pPr>
        <w:tabs>
          <w:tab w:val="left" w:pos="1843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Kongruenz:</w:t>
      </w:r>
      <w:r>
        <w:rPr>
          <w:rFonts w:ascii="Courier" w:hAnsi="Courier"/>
        </w:rPr>
        <w:tab/>
        <w:t>Übereinstimmung von Wörtern oder Satzteilen in</w:t>
      </w:r>
    </w:p>
    <w:p w:rsidR="008F6C9E" w:rsidRDefault="008D1295" w:rsidP="008F6C9E">
      <w:pPr>
        <w:tabs>
          <w:tab w:val="left" w:pos="1843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  <w:t>bestimmten Punkten:</w:t>
      </w:r>
    </w:p>
    <w:p w:rsidR="008F6C9E" w:rsidRDefault="008D1295">
      <w:pPr>
        <w:spacing w:line="360" w:lineRule="atLeast"/>
        <w:rPr>
          <w:rFonts w:ascii="Courier" w:hAnsi="Courier"/>
        </w:rPr>
      </w:pPr>
    </w:p>
    <w:p w:rsidR="008F6C9E" w:rsidRDefault="008D1295" w:rsidP="008F6C9E">
      <w:pPr>
        <w:tabs>
          <w:tab w:val="left" w:pos="2835"/>
          <w:tab w:val="left" w:pos="5245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  <w:t xml:space="preserve">a) im </w:t>
      </w:r>
      <w:r>
        <w:rPr>
          <w:rFonts w:ascii="Courier" w:hAnsi="Courier"/>
          <w:u w:val="single"/>
        </w:rPr>
        <w:t>K</w:t>
      </w:r>
      <w:r>
        <w:rPr>
          <w:rFonts w:ascii="Courier" w:hAnsi="Courier"/>
        </w:rPr>
        <w:t>asus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K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b) im </w:t>
      </w:r>
      <w:r>
        <w:rPr>
          <w:rFonts w:ascii="Courier" w:hAnsi="Courier"/>
          <w:u w:val="single"/>
        </w:rPr>
        <w:t>N</w:t>
      </w:r>
      <w:r>
        <w:rPr>
          <w:rFonts w:ascii="Courier" w:hAnsi="Courier"/>
        </w:rPr>
        <w:t>umerus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N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 xml:space="preserve">c) im </w:t>
      </w:r>
      <w:r>
        <w:rPr>
          <w:rFonts w:ascii="Courier" w:hAnsi="Courier"/>
          <w:u w:val="single"/>
        </w:rPr>
        <w:t>G</w:t>
      </w:r>
      <w:r>
        <w:rPr>
          <w:rFonts w:ascii="Courier" w:hAnsi="Courier"/>
        </w:rPr>
        <w:t>enus.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 xml:space="preserve">G </w:t>
      </w:r>
      <w:r w:rsidRPr="008F6C9E">
        <w:rPr>
          <w:rStyle w:val="Funotenzeichen"/>
        </w:rPr>
        <w:footnoteReference w:id="-1"/>
      </w:r>
    </w:p>
    <w:p w:rsidR="008F6C9E" w:rsidRDefault="008D1295">
      <w:pPr>
        <w:spacing w:line="360" w:lineRule="atLeast"/>
        <w:rPr>
          <w:rFonts w:ascii="Courier" w:hAnsi="Courier"/>
        </w:rPr>
      </w:pPr>
    </w:p>
    <w:p w:rsidR="008F6C9E" w:rsidRDefault="008D1295">
      <w:pPr>
        <w:spacing w:line="360" w:lineRule="atLeast"/>
        <w:rPr>
          <w:rFonts w:ascii="Courier" w:hAnsi="Courier"/>
        </w:rPr>
      </w:pPr>
      <w:r>
        <w:rPr>
          <w:rFonts w:ascii="Courier" w:hAnsi="Courier"/>
        </w:rPr>
        <w:t>Beispiele:</w:t>
      </w:r>
    </w:p>
    <w:p w:rsidR="008F6C9E" w:rsidRDefault="008D1295">
      <w:pPr>
        <w:spacing w:line="360" w:lineRule="atLeast"/>
        <w:rPr>
          <w:rFonts w:ascii="Courier" w:hAnsi="Courier"/>
        </w:rPr>
      </w:pPr>
    </w:p>
    <w:p w:rsidR="008F6C9E" w:rsidRDefault="008D1295" w:rsidP="008F6C9E">
      <w:pPr>
        <w:spacing w:line="360" w:lineRule="atLeast"/>
        <w:ind w:left="284" w:hanging="284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Kongruenz im Deutschen zwischen Artikel und Substantiv:</w:t>
      </w:r>
      <w:r>
        <w:rPr>
          <w:rFonts w:ascii="Courier" w:hAnsi="Courier"/>
        </w:rPr>
        <w:br/>
      </w:r>
      <w:proofErr w:type="gramStart"/>
      <w:r>
        <w:rPr>
          <w:rFonts w:ascii="Courier" w:hAnsi="Courier"/>
        </w:rPr>
        <w:t>"</w:t>
      </w:r>
      <w:r>
        <w:rPr>
          <w:rFonts w:ascii="Courier" w:hAnsi="Courier"/>
          <w:u w:val="single"/>
        </w:rPr>
        <w:t>der</w:t>
      </w:r>
      <w:proofErr w:type="gramEnd"/>
      <w:r>
        <w:rPr>
          <w:rFonts w:ascii="Courier" w:hAnsi="Courier"/>
        </w:rPr>
        <w:t xml:space="preserve"> Herr</w:t>
      </w:r>
      <w:r>
        <w:rPr>
          <w:rFonts w:ascii="Courier" w:hAnsi="Courier"/>
          <w:u w:val="single"/>
        </w:rPr>
        <w:t xml:space="preserve"> </w:t>
      </w:r>
      <w:r>
        <w:rPr>
          <w:rFonts w:ascii="Courier" w:hAnsi="Courier"/>
        </w:rPr>
        <w:t xml:space="preserve">; </w:t>
      </w:r>
      <w:r>
        <w:rPr>
          <w:rFonts w:ascii="Courier" w:hAnsi="Courier"/>
          <w:u w:val="single"/>
        </w:rPr>
        <w:t>den</w:t>
      </w:r>
      <w:r>
        <w:rPr>
          <w:rFonts w:ascii="Courier" w:hAnsi="Courier"/>
        </w:rPr>
        <w:t xml:space="preserve"> Herr</w:t>
      </w:r>
      <w:r>
        <w:rPr>
          <w:rFonts w:ascii="Courier" w:hAnsi="Courier"/>
          <w:u w:val="single"/>
        </w:rPr>
        <w:t>n</w:t>
      </w:r>
      <w:r>
        <w:rPr>
          <w:rFonts w:ascii="Courier" w:hAnsi="Courier"/>
        </w:rPr>
        <w:t xml:space="preserve">; </w:t>
      </w:r>
      <w:r>
        <w:rPr>
          <w:rFonts w:ascii="Courier" w:hAnsi="Courier"/>
          <w:u w:val="single"/>
        </w:rPr>
        <w:t>die</w:t>
      </w:r>
      <w:r>
        <w:rPr>
          <w:rFonts w:ascii="Courier" w:hAnsi="Courier"/>
        </w:rPr>
        <w:t xml:space="preserve"> Herr</w:t>
      </w:r>
      <w:r>
        <w:rPr>
          <w:rFonts w:ascii="Courier" w:hAnsi="Courier"/>
          <w:u w:val="single"/>
        </w:rPr>
        <w:t>en</w:t>
      </w:r>
      <w:r>
        <w:rPr>
          <w:rFonts w:ascii="Courier" w:hAnsi="Courier"/>
        </w:rPr>
        <w:t>":</w:t>
      </w:r>
      <w:r>
        <w:rPr>
          <w:rFonts w:ascii="Courier" w:hAnsi="Courier"/>
        </w:rPr>
        <w:br/>
        <w:t>Artikel und Substantiv stimmen in Kasus, Numerus und Genus überein,</w:t>
      </w:r>
      <w:r>
        <w:rPr>
          <w:rFonts w:ascii="Courier" w:hAnsi="Courier"/>
        </w:rPr>
        <w:br/>
        <w:t xml:space="preserve">oder anders ausgedrückt: Artikel und Substantiv sind in KNG </w:t>
      </w:r>
      <w:r>
        <w:rPr>
          <w:rFonts w:ascii="Courier" w:hAnsi="Courier"/>
        </w:rPr>
        <w:br/>
        <w:t>kongruent ("übereinstimmend").</w:t>
      </w:r>
    </w:p>
    <w:p w:rsidR="008F6C9E" w:rsidRDefault="008D1295" w:rsidP="008F6C9E">
      <w:pPr>
        <w:spacing w:line="360" w:lineRule="atLeast"/>
        <w:ind w:left="284" w:hanging="284"/>
        <w:rPr>
          <w:rFonts w:ascii="Courier" w:hAnsi="Courier"/>
        </w:rPr>
      </w:pPr>
    </w:p>
    <w:p w:rsidR="008F6C9E" w:rsidRDefault="008D1295" w:rsidP="008F6C9E">
      <w:pPr>
        <w:spacing w:line="360" w:lineRule="atLeast"/>
        <w:ind w:left="284" w:right="86" w:hanging="284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Kongruenz nur in N zwischen Subjekt und Prädikat:</w:t>
      </w:r>
      <w:r>
        <w:rPr>
          <w:rFonts w:ascii="Courier" w:hAnsi="Courier"/>
        </w:rPr>
        <w:br/>
      </w:r>
      <w:proofErr w:type="spellStart"/>
      <w:r>
        <w:rPr>
          <w:rFonts w:ascii="Courier" w:hAnsi="Courier"/>
        </w:rPr>
        <w:t>Domin</w:t>
      </w:r>
      <w:r>
        <w:rPr>
          <w:rFonts w:ascii="Courier" w:hAnsi="Courier"/>
          <w:u w:val="single"/>
        </w:rPr>
        <w:t>us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voc</w:t>
      </w:r>
      <w:r>
        <w:rPr>
          <w:rFonts w:ascii="Courier" w:hAnsi="Courier"/>
        </w:rPr>
        <w:t>a</w:t>
      </w:r>
      <w:r>
        <w:rPr>
          <w:rFonts w:ascii="Courier" w:hAnsi="Courier"/>
          <w:u w:val="single"/>
        </w:rPr>
        <w:t>t</w:t>
      </w:r>
      <w:proofErr w:type="spellEnd"/>
      <w:r>
        <w:rPr>
          <w:rFonts w:ascii="Courier" w:hAnsi="Courier"/>
        </w:rPr>
        <w:t xml:space="preserve">: </w:t>
      </w:r>
      <w:r>
        <w:rPr>
          <w:rFonts w:ascii="Courier" w:hAnsi="Courier"/>
          <w:u w:val="single"/>
        </w:rPr>
        <w:t>Der</w:t>
      </w:r>
      <w:r>
        <w:rPr>
          <w:rFonts w:ascii="Courier" w:hAnsi="Courier"/>
        </w:rPr>
        <w:t xml:space="preserve"> Herr</w:t>
      </w:r>
      <w:r>
        <w:rPr>
          <w:rFonts w:ascii="Courier" w:hAnsi="Courier"/>
          <w:u w:val="single"/>
        </w:rPr>
        <w:t xml:space="preserve"> </w:t>
      </w:r>
      <w:r>
        <w:rPr>
          <w:rFonts w:ascii="Courier" w:hAnsi="Courier"/>
        </w:rPr>
        <w:t xml:space="preserve"> ruf</w:t>
      </w:r>
      <w:r>
        <w:rPr>
          <w:rFonts w:ascii="Courier" w:hAnsi="Courier"/>
          <w:u w:val="single"/>
        </w:rPr>
        <w:t>t</w:t>
      </w:r>
      <w:r>
        <w:rPr>
          <w:rFonts w:ascii="Courier" w:hAnsi="Courier"/>
        </w:rPr>
        <w:t>.</w:t>
      </w:r>
      <w:r>
        <w:rPr>
          <w:rFonts w:ascii="Courier" w:hAnsi="Courier"/>
        </w:rPr>
        <w:br/>
        <w:t xml:space="preserve">Domini </w:t>
      </w:r>
      <w:proofErr w:type="spellStart"/>
      <w:r>
        <w:rPr>
          <w:rFonts w:ascii="Courier" w:hAnsi="Courier"/>
        </w:rPr>
        <w:t>vocant</w:t>
      </w:r>
      <w:proofErr w:type="spellEnd"/>
      <w:r>
        <w:rPr>
          <w:rFonts w:ascii="Courier" w:hAnsi="Courier"/>
        </w:rPr>
        <w:t xml:space="preserve">: </w:t>
      </w:r>
      <w:r>
        <w:rPr>
          <w:rFonts w:ascii="Courier" w:hAnsi="Courier"/>
          <w:u w:val="single"/>
        </w:rPr>
        <w:t>Die</w:t>
      </w:r>
      <w:r>
        <w:rPr>
          <w:rFonts w:ascii="Courier" w:hAnsi="Courier"/>
        </w:rPr>
        <w:t xml:space="preserve"> Herr</w:t>
      </w:r>
      <w:r>
        <w:rPr>
          <w:rFonts w:ascii="Courier" w:hAnsi="Courier"/>
          <w:u w:val="single"/>
        </w:rPr>
        <w:t>en</w:t>
      </w:r>
      <w:r>
        <w:rPr>
          <w:rFonts w:ascii="Courier" w:hAnsi="Courier"/>
        </w:rPr>
        <w:t xml:space="preserve"> ruf</w:t>
      </w:r>
      <w:r>
        <w:rPr>
          <w:rFonts w:ascii="Courier" w:hAnsi="Courier"/>
          <w:u w:val="single"/>
        </w:rPr>
        <w:t>en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  <w:t>Subjekt und Prädikat stimmen in beiden Sprachen im Numerus überein,</w:t>
      </w:r>
      <w:r>
        <w:rPr>
          <w:rFonts w:ascii="Courier" w:hAnsi="Courier"/>
        </w:rPr>
        <w:br/>
      </w:r>
      <w:proofErr w:type="gramStart"/>
      <w:r>
        <w:rPr>
          <w:rFonts w:ascii="Courier" w:hAnsi="Courier"/>
        </w:rPr>
        <w:t>bzw. sind</w:t>
      </w:r>
      <w:proofErr w:type="gramEnd"/>
      <w:r>
        <w:rPr>
          <w:rFonts w:ascii="Courier" w:hAnsi="Courier"/>
        </w:rPr>
        <w:t xml:space="preserve"> in N kongruent.</w:t>
      </w:r>
    </w:p>
    <w:p w:rsidR="008F6C9E" w:rsidRDefault="008D1295" w:rsidP="008F6C9E">
      <w:pPr>
        <w:spacing w:line="360" w:lineRule="atLeast"/>
        <w:ind w:left="284" w:hanging="284"/>
        <w:rPr>
          <w:rFonts w:ascii="Courier" w:hAnsi="Courier"/>
        </w:rPr>
      </w:pPr>
    </w:p>
    <w:p w:rsidR="008F6C9E" w:rsidRDefault="008D1295" w:rsidP="008F6C9E">
      <w:pPr>
        <w:spacing w:line="360" w:lineRule="atLeast"/>
        <w:ind w:left="284" w:hanging="284"/>
        <w:jc w:val="both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Kongruenz nur in K zwischen Bezugssubstantiv und Apposition</w:t>
      </w:r>
      <w:r>
        <w:rPr>
          <w:rFonts w:ascii="Courier" w:hAnsi="Courier"/>
        </w:rPr>
        <w:br/>
        <w:t>(vgl. § 9.9.1):</w:t>
      </w:r>
      <w:r>
        <w:rPr>
          <w:rFonts w:ascii="Courier" w:hAnsi="Courier"/>
        </w:rPr>
        <w:br/>
        <w:t>Das Bezugssubstantiv und die A</w:t>
      </w:r>
      <w:r>
        <w:rPr>
          <w:rFonts w:ascii="Courier" w:hAnsi="Courier"/>
        </w:rPr>
        <w:t>pposition stimmen im Kasus überein</w:t>
      </w:r>
      <w:r>
        <w:rPr>
          <w:rFonts w:ascii="Courier" w:hAnsi="Courier"/>
        </w:rPr>
        <w:br/>
        <w:t>bzw. sind in K kongruent.</w:t>
      </w:r>
    </w:p>
    <w:sectPr w:rsidR="008F6C9E">
      <w:pgSz w:w="11880" w:h="16800"/>
      <w:pgMar w:top="1134" w:right="1021" w:bottom="1134" w:left="1134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8F6C9E" w:rsidRPr="008F6C9E" w:rsidRDefault="008D1295">
      <w:pPr>
        <w:pStyle w:val="Funotentext"/>
        <w:rPr>
          <w:rFonts w:ascii="Courier" w:hAnsi="Courier"/>
          <w:sz w:val="20"/>
        </w:rPr>
      </w:pPr>
      <w:r w:rsidRPr="008F6C9E">
        <w:rPr>
          <w:rStyle w:val="Funotenzeichen"/>
        </w:rPr>
        <w:footnoteRef/>
      </w:r>
      <w:r>
        <w:rPr>
          <w:rFonts w:ascii="Courier" w:hAnsi="Courier"/>
        </w:rPr>
        <w:t xml:space="preserve"> </w:t>
      </w:r>
      <w:r w:rsidRPr="008F6C9E">
        <w:rPr>
          <w:rFonts w:ascii="Courier" w:hAnsi="Courier"/>
          <w:sz w:val="20"/>
        </w:rPr>
        <w:t>In anderen Lehrbüchern sieht man oft andere Reihenfolgen: NGK oder KGN.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8F6C9E"/>
    <w:rsid w:val="008D129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Endnotenzeichen">
    <w:name w:val="endnote reference"/>
    <w:basedOn w:val="Absatz-Standardschriftart"/>
    <w:semiHidden/>
    <w:rsid w:val="008F6C9E"/>
    <w:rPr>
      <w:vertAlign w:val="superscript"/>
    </w:rPr>
  </w:style>
  <w:style w:type="character" w:styleId="Funotenzeichen">
    <w:name w:val="footnote reference"/>
    <w:basedOn w:val="Absatz-Standardschriftart"/>
    <w:rPr>
      <w:position w:val="6"/>
      <w:sz w:val="16"/>
    </w:rPr>
  </w:style>
  <w:style w:type="paragraph" w:styleId="Funotentext">
    <w:name w:val="footnote text"/>
    <w:basedOn w:val="Standar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footnotes" Target="footnote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</vt:lpstr>
    </vt:vector>
  </TitlesOfParts>
  <Company>cheironos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</dc:title>
  <dc:subject/>
  <dc:creator>Theo Wirth</dc:creator>
  <cp:keywords/>
  <cp:lastModifiedBy>Theo Wirth</cp:lastModifiedBy>
  <cp:revision>2</cp:revision>
  <dcterms:created xsi:type="dcterms:W3CDTF">2009-11-19T20:20:00Z</dcterms:created>
  <dcterms:modified xsi:type="dcterms:W3CDTF">2009-11-19T20:20:00Z</dcterms:modified>
</cp:coreProperties>
</file>