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AFE" w:rsidRPr="00D74F74" w:rsidRDefault="002F405D" w:rsidP="00173AFE">
      <w:pPr>
        <w:pStyle w:val="Wort"/>
        <w:spacing w:before="0"/>
        <w:jc w:val="center"/>
        <w:rPr>
          <w:sz w:val="32"/>
        </w:rPr>
      </w:pPr>
      <w:r w:rsidRPr="0074402B">
        <w:rPr>
          <w:sz w:val="32"/>
        </w:rPr>
        <w:t>Erklärungen zu den einzelnen Wörtern</w:t>
      </w:r>
    </w:p>
    <w:p w:rsidR="00173AFE" w:rsidRPr="00173AFE" w:rsidRDefault="002F405D" w:rsidP="00173AFE">
      <w:pPr>
        <w:pStyle w:val="Wort"/>
        <w:spacing w:before="240"/>
        <w:rPr>
          <w:i/>
        </w:rPr>
      </w:pPr>
      <w:r w:rsidRPr="00173AFE">
        <w:rPr>
          <w:i/>
        </w:rPr>
        <w:t>petere</w:t>
      </w:r>
    </w:p>
    <w:p w:rsidR="00173AFE" w:rsidRPr="0074402B" w:rsidRDefault="002F405D" w:rsidP="0074402B">
      <w:pPr>
        <w:pStyle w:val="Subtitel"/>
      </w:pPr>
      <w:r w:rsidRPr="0074402B">
        <w:t>Konzeption:</w:t>
      </w:r>
    </w:p>
    <w:p w:rsidR="00173AFE" w:rsidRPr="0074402B" w:rsidRDefault="002F405D" w:rsidP="0074402B">
      <w:pPr>
        <w:pStyle w:val="Erklrung"/>
      </w:pPr>
      <w:r w:rsidRPr="0074402B">
        <w:t>(Wir beziehen uns hier und im Folgenden immer auf die Rondogramme in den beiliegenden PowerPoint-Darstellungen.) Ausgangspunkt sei das jugend- und umgangssprachliche Wort „anpeilen“ (≈ auf jemanden od</w:t>
      </w:r>
      <w:r w:rsidRPr="0074402B">
        <w:t xml:space="preserve">er etwas losgehen, sich an jemanden machen) als „kraftvoller und fruchtbarer Prototyp“. Praktisch nie </w:t>
      </w:r>
      <w:proofErr w:type="gramStart"/>
      <w:r w:rsidRPr="0074402B">
        <w:t>wird dies eine mögliche Textbedeutung</w:t>
      </w:r>
      <w:proofErr w:type="gramEnd"/>
      <w:r w:rsidRPr="0074402B">
        <w:t xml:space="preserve"> sein. </w:t>
      </w:r>
    </w:p>
    <w:p w:rsidR="00173AFE" w:rsidRPr="0074402B" w:rsidRDefault="002F405D" w:rsidP="0074402B">
      <w:pPr>
        <w:pStyle w:val="Erklrung"/>
      </w:pPr>
      <w:r w:rsidRPr="0074402B">
        <w:t>Von hier ausgehend sollen häufige deutsche Äquivalente in Form einer Geschichte aufgezeigt werden (blaue Krei</w:t>
      </w:r>
      <w:r w:rsidRPr="0074402B">
        <w:t>se und Bedeutungen).</w:t>
      </w:r>
    </w:p>
    <w:p w:rsidR="00173AFE" w:rsidRPr="0074402B" w:rsidRDefault="002F405D" w:rsidP="0074402B">
      <w:pPr>
        <w:pStyle w:val="Erklrung"/>
      </w:pPr>
      <w:r w:rsidRPr="0074402B">
        <w:t>Zentral wichtig sind für die „Fruchtbarkeit“ die roten Kreise. Die Schülerinnen und Schüler müssen dafür sensibilisiert werden, dass sie je nach Kontext auch gar nicht gelernte deutsche Äquivalente „erfinden“ müssen.</w:t>
      </w:r>
    </w:p>
    <w:p w:rsidR="00173AFE" w:rsidRPr="0074402B" w:rsidRDefault="002F405D" w:rsidP="0074402B">
      <w:pPr>
        <w:pStyle w:val="Subtitel"/>
      </w:pPr>
      <w:r w:rsidRPr="0074402B">
        <w:t>Vorgehen im Unterr</w:t>
      </w:r>
      <w:r w:rsidRPr="0074402B">
        <w:t>icht:</w:t>
      </w:r>
    </w:p>
    <w:p w:rsidR="00173AFE" w:rsidRPr="0074402B" w:rsidRDefault="002F405D" w:rsidP="0074402B">
      <w:pPr>
        <w:pStyle w:val="Erklrung"/>
      </w:pPr>
      <w:r w:rsidRPr="0074402B">
        <w:t>Zuerst wird die Kernbedeutung „anpeilen“ gezeigt [Klick] und der Sinn der eckigen Klam</w:t>
      </w:r>
      <w:r w:rsidRPr="0074402B">
        <w:softHyphen/>
        <w:t>mern erklärt („In der definitiven Übersetzung wird ‚anpeilen‘ fast nie stehen können.“).</w:t>
      </w:r>
    </w:p>
    <w:p w:rsidR="00173AFE" w:rsidRPr="0074402B" w:rsidRDefault="002F405D" w:rsidP="0074402B">
      <w:pPr>
        <w:pStyle w:val="Erklrung"/>
      </w:pPr>
      <w:r w:rsidRPr="0074402B">
        <w:t>Dann folgt die Geschichte, z.B.: Krisensituation in einer römischen Stadt,</w:t>
      </w:r>
      <w:r w:rsidRPr="0074402B">
        <w:t xml:space="preserve"> die Leute haben Angst. Darum macht der Priester Marcus folgendes [Klick]: </w:t>
      </w:r>
      <w:r w:rsidRPr="00173AFE">
        <w:rPr>
          <w:i/>
        </w:rPr>
        <w:t>templum petit</w:t>
      </w:r>
      <w:r w:rsidRPr="0074402B">
        <w:t>. Frage an die Schü</w:t>
      </w:r>
      <w:r w:rsidRPr="0074402B">
        <w:softHyphen/>
        <w:t xml:space="preserve">ler: was muss dies heissen? „Er begibt sich in den/geht zum Tempel.“ (o.ä.) [Klick]. Im Tempel macht er folgendes [Klick]: </w:t>
      </w:r>
      <w:r w:rsidRPr="00173AFE">
        <w:rPr>
          <w:i/>
        </w:rPr>
        <w:t>statuam</w:t>
      </w:r>
      <w:r w:rsidRPr="0074402B">
        <w:t xml:space="preserve"> </w:t>
      </w:r>
      <w:r w:rsidRPr="00173AFE">
        <w:rPr>
          <w:i/>
        </w:rPr>
        <w:t>petit</w:t>
      </w:r>
      <w:r w:rsidRPr="0074402B">
        <w:t>. Frage an d</w:t>
      </w:r>
      <w:r w:rsidRPr="0074402B">
        <w:t xml:space="preserve">ie Schüler: was muss dies heissen? „Er sucht die Statue auf/geht zur Statue.“ (o.ä.) [Klick]. Ebenso für </w:t>
      </w:r>
      <w:r w:rsidRPr="00173AFE">
        <w:rPr>
          <w:i/>
        </w:rPr>
        <w:t>auxilium</w:t>
      </w:r>
      <w:r w:rsidRPr="0074402B">
        <w:t xml:space="preserve"> [Klick]. Am Schluss kommt die Begründung für die Angst der Leute [Klick]</w:t>
      </w:r>
      <w:proofErr w:type="gramStart"/>
      <w:r w:rsidRPr="0074402B">
        <w:t>: „</w:t>
      </w:r>
      <w:proofErr w:type="gramEnd"/>
      <w:r w:rsidRPr="0074402B">
        <w:t xml:space="preserve">Feinde – </w:t>
      </w:r>
      <w:r w:rsidRPr="00173AFE">
        <w:rPr>
          <w:i/>
        </w:rPr>
        <w:t>Romanos</w:t>
      </w:r>
      <w:r w:rsidRPr="0074402B">
        <w:t xml:space="preserve"> </w:t>
      </w:r>
      <w:r w:rsidRPr="00173AFE">
        <w:rPr>
          <w:i/>
        </w:rPr>
        <w:t>petunt</w:t>
      </w:r>
      <w:r w:rsidRPr="0074402B">
        <w:t>“. Frage an die Schüler: was muss dies heiss</w:t>
      </w:r>
      <w:r w:rsidRPr="0074402B">
        <w:t>en? „Feinde greifen die Römer an.“ (o.ä.) [Klick]</w:t>
      </w:r>
    </w:p>
    <w:p w:rsidR="00173AFE" w:rsidRPr="0074402B" w:rsidRDefault="002F405D" w:rsidP="0074402B">
      <w:pPr>
        <w:pStyle w:val="Erklrung"/>
      </w:pPr>
      <w:r w:rsidRPr="0074402B">
        <w:t>Schliesslich muss man die Schüler darauf hinweisen, dass es je nach Kontext noch viele wei</w:t>
      </w:r>
      <w:r w:rsidRPr="0074402B">
        <w:softHyphen/>
        <w:t>te</w:t>
      </w:r>
      <w:r w:rsidRPr="0074402B">
        <w:softHyphen/>
        <w:t>re deutsche Äquivalente gibt. [2 Klicks] Die Schüler sollen dafür selbstständig Beispiele bil</w:t>
      </w:r>
      <w:r w:rsidRPr="0074402B">
        <w:softHyphen/>
        <w:t>den.</w:t>
      </w:r>
    </w:p>
    <w:p w:rsidR="00173AFE" w:rsidRPr="00173AFE" w:rsidRDefault="002F405D" w:rsidP="0074402B">
      <w:pPr>
        <w:pStyle w:val="Wort"/>
        <w:rPr>
          <w:i/>
        </w:rPr>
      </w:pPr>
      <w:r w:rsidRPr="00173AFE">
        <w:rPr>
          <w:i/>
        </w:rPr>
        <w:t>causa</w:t>
      </w:r>
    </w:p>
    <w:p w:rsidR="00173AFE" w:rsidRPr="0074402B" w:rsidRDefault="002F405D" w:rsidP="0074402B">
      <w:pPr>
        <w:pStyle w:val="Subtitel"/>
      </w:pPr>
      <w:r w:rsidRPr="0074402B">
        <w:t>Konzept</w:t>
      </w:r>
      <w:r w:rsidRPr="0074402B">
        <w:t>ion:</w:t>
      </w:r>
    </w:p>
    <w:p w:rsidR="00173AFE" w:rsidRPr="0074402B" w:rsidRDefault="002F405D" w:rsidP="0074402B">
      <w:pPr>
        <w:pStyle w:val="Erklrung"/>
      </w:pPr>
      <w:r w:rsidRPr="0074402B">
        <w:t>Ausgangspunkt sei „Motiv“ als „kraftvoller und fruchtbarer Prototyp“.</w:t>
      </w:r>
    </w:p>
    <w:p w:rsidR="00173AFE" w:rsidRPr="0074402B" w:rsidRDefault="002F405D" w:rsidP="0074402B">
      <w:pPr>
        <w:pStyle w:val="Erklrung"/>
      </w:pPr>
      <w:r w:rsidRPr="0074402B">
        <w:t>Von hier ausgehend soll die Bedeutungsentwicklung (Metonymien) anhand einer Geschichte aufgezeigt werden.</w:t>
      </w:r>
    </w:p>
    <w:p w:rsidR="00173AFE" w:rsidRPr="0074402B" w:rsidRDefault="002F405D" w:rsidP="0074402B">
      <w:pPr>
        <w:pStyle w:val="Subtitel"/>
      </w:pPr>
      <w:r w:rsidRPr="00D74F74">
        <w:t>Vorgehen</w:t>
      </w:r>
      <w:r w:rsidRPr="0074402B">
        <w:t xml:space="preserve"> im Unterricht:</w:t>
      </w:r>
    </w:p>
    <w:p w:rsidR="00173AFE" w:rsidRPr="0074402B" w:rsidRDefault="002F405D" w:rsidP="0074402B">
      <w:pPr>
        <w:pStyle w:val="Erklrung"/>
      </w:pPr>
      <w:r w:rsidRPr="0074402B">
        <w:t>Zuerst wird die Kernbedeutung „Motiv“ gezeigt [Klic</w:t>
      </w:r>
      <w:r w:rsidRPr="0074402B">
        <w:t>k].</w:t>
      </w:r>
    </w:p>
    <w:p w:rsidR="00173AFE" w:rsidRPr="0074402B" w:rsidRDefault="002F405D" w:rsidP="0074402B">
      <w:pPr>
        <w:pStyle w:val="Erklrung"/>
      </w:pPr>
      <w:r w:rsidRPr="0074402B">
        <w:t>Dann folgt die Geschichte, z.B.: Zeitungsmeldung „Notar tötete aus Egoismus (Titel) - Ein Notar aus xy, der einen Geschäftspartner erschossen hat, ist wegen Mordes zu 17 Jahren Zuchthaus verurteilt worden.“ Hier lässt sich die Bedeutungsentwicklung kon</w:t>
      </w:r>
      <w:r w:rsidRPr="0074402B">
        <w:t>kret nach</w:t>
      </w:r>
      <w:r w:rsidRPr="0074402B">
        <w:softHyphen/>
        <w:t>voll</w:t>
      </w:r>
      <w:r w:rsidRPr="0074402B">
        <w:softHyphen/>
        <w:t>ziehen: Aus dem Motiv ergibt sich die „Schuld“ [Klick], daraus (im Rechtsstaat) der „Prozess“ [Klick]. Ganz allgemein steht am Anfang ein „Grund“ oder eine „Ursache“ [Klick]. Das Gan</w:t>
      </w:r>
      <w:r w:rsidRPr="0074402B">
        <w:softHyphen/>
        <w:t>ze bezeichnet einen Zusammenhang, wofür im Deutschen „Sach</w:t>
      </w:r>
      <w:r w:rsidRPr="0074402B">
        <w:t>verhalt“ [Klick] oder ganz abgeschwächt „Sache“ [Klick] steht.</w:t>
      </w:r>
    </w:p>
    <w:p w:rsidR="00173AFE" w:rsidRPr="0074402B" w:rsidRDefault="002F405D" w:rsidP="00173AFE">
      <w:pPr>
        <w:pStyle w:val="Erklrung"/>
      </w:pPr>
      <w:r w:rsidRPr="0074402B">
        <w:t>Diese letzte Bedeutung wird von den Schülern im frz. Wort „chose“ [Klick] sofort wieder</w:t>
      </w:r>
      <w:r w:rsidRPr="0074402B">
        <w:softHyphen/>
        <w:t>er</w:t>
      </w:r>
      <w:r w:rsidRPr="0074402B">
        <w:softHyphen/>
        <w:t>kannt.</w:t>
      </w:r>
    </w:p>
    <w:p w:rsidR="00173AFE" w:rsidRPr="00D74F74" w:rsidRDefault="002F405D" w:rsidP="00173AFE">
      <w:pPr>
        <w:pStyle w:val="Erklrung"/>
      </w:pPr>
      <w:r w:rsidRPr="00D74F74">
        <w:t>Zuletzt muss man die Schüler darauf hinweisen, dass es noch weitere deutsche Wieder</w:t>
      </w:r>
      <w:r w:rsidRPr="00D74F74">
        <w:softHyphen/>
        <w:t>gabe</w:t>
      </w:r>
      <w:r w:rsidRPr="00D74F74">
        <w:softHyphen/>
        <w:t>möglic</w:t>
      </w:r>
      <w:r w:rsidRPr="00D74F74">
        <w:t>hkeiten gibt [Klick].</w:t>
      </w:r>
    </w:p>
    <w:p w:rsidR="00173AFE" w:rsidRPr="0074402B" w:rsidRDefault="002F405D" w:rsidP="0074402B">
      <w:pPr>
        <w:pStyle w:val="Erklrung"/>
      </w:pPr>
    </w:p>
    <w:p w:rsidR="00173AFE" w:rsidRPr="0074402B" w:rsidRDefault="002F405D" w:rsidP="00173AFE">
      <w:pPr>
        <w:pStyle w:val="Wort"/>
      </w:pPr>
      <w:r w:rsidRPr="0074402B">
        <w:t xml:space="preserve">Subjunktion </w:t>
      </w:r>
      <w:r w:rsidRPr="00173AFE">
        <w:rPr>
          <w:i/>
        </w:rPr>
        <w:t>cum</w:t>
      </w:r>
    </w:p>
    <w:p w:rsidR="00173AFE" w:rsidRPr="00D74F74" w:rsidRDefault="002F405D" w:rsidP="00173AFE">
      <w:pPr>
        <w:pStyle w:val="Subtitel"/>
      </w:pPr>
      <w:r w:rsidRPr="00D74F74">
        <w:t>Konzeption:</w:t>
      </w:r>
    </w:p>
    <w:p w:rsidR="00173AFE" w:rsidRPr="00D74F74" w:rsidRDefault="002F405D" w:rsidP="00173AFE">
      <w:pPr>
        <w:pStyle w:val="Erklrung"/>
      </w:pPr>
      <w:r w:rsidRPr="00D74F74">
        <w:t xml:space="preserve">Ausgangspunkt sei „als, wenn“ als „fruchtbarer Prototyp“ (diese Bedeutungen sollen bei früher Einführung von </w:t>
      </w:r>
      <w:r w:rsidRPr="00173AFE">
        <w:rPr>
          <w:i/>
        </w:rPr>
        <w:t>cum</w:t>
      </w:r>
      <w:r w:rsidRPr="00D74F74">
        <w:t xml:space="preserve"> beim Indikativ bereits verwendet werden). Das Rondogramm ist ge</w:t>
      </w:r>
      <w:r w:rsidRPr="00D74F74">
        <w:softHyphen/>
        <w:t>dacht für die umfassende Ein</w:t>
      </w:r>
      <w:r w:rsidRPr="00D74F74">
        <w:t xml:space="preserve">führung von </w:t>
      </w:r>
      <w:r w:rsidRPr="00173AFE">
        <w:rPr>
          <w:i/>
        </w:rPr>
        <w:t>cum</w:t>
      </w:r>
      <w:r w:rsidRPr="00D74F74">
        <w:t xml:space="preserve"> (nach Einführung des Konjunktivs).</w:t>
      </w:r>
    </w:p>
    <w:p w:rsidR="00173AFE" w:rsidRPr="00D74F74" w:rsidRDefault="002F405D" w:rsidP="00173AFE">
      <w:pPr>
        <w:pStyle w:val="Erklrung"/>
      </w:pPr>
      <w:r w:rsidRPr="00D74F74">
        <w:t>Von hier ausgehend soll die Bedeutungsentwicklung (Metonymien) anhand von Beispielen aufgezeigt werden. Als Grundlage dienen die Einzelsätze „</w:t>
      </w:r>
      <w:r w:rsidRPr="00173AFE">
        <w:rPr>
          <w:i/>
        </w:rPr>
        <w:t>Clamant, cum tace(a)nt</w:t>
      </w:r>
      <w:r w:rsidRPr="00D74F74">
        <w:t>.“ und „</w:t>
      </w:r>
      <w:r w:rsidRPr="00173AFE">
        <w:rPr>
          <w:i/>
        </w:rPr>
        <w:t>Alii cla</w:t>
      </w:r>
      <w:r w:rsidRPr="00173AFE">
        <w:rPr>
          <w:i/>
        </w:rPr>
        <w:softHyphen/>
        <w:t>mant, cum alii taceant.“</w:t>
      </w:r>
      <w:r w:rsidRPr="00173AFE">
        <w:rPr>
          <w:i/>
        </w:rPr>
        <w:t>.</w:t>
      </w:r>
      <w:r w:rsidRPr="00D74F74">
        <w:t xml:space="preserve"> Wir nehmen bewusst einen Einzelsatz und lassen den Kontext weg; damit bleiben die Sinnrichtungen weitgehend unbestimmt bzw. fast alles wird möglich – ge</w:t>
      </w:r>
      <w:r w:rsidRPr="00D74F74">
        <w:softHyphen/>
        <w:t>nau darum geht es ja. Die Lehrkraft erfindet eine Situation, in der die beiden Einzelsätze sinnvoll e</w:t>
      </w:r>
      <w:r w:rsidRPr="00D74F74">
        <w:t>ingebettet werden können.</w:t>
      </w:r>
    </w:p>
    <w:p w:rsidR="00173AFE" w:rsidRPr="00D74F74" w:rsidRDefault="002F405D" w:rsidP="00173AFE">
      <w:pPr>
        <w:pStyle w:val="Erklrung"/>
        <w:rPr>
          <w:b/>
        </w:rPr>
      </w:pPr>
      <w:r w:rsidRPr="00D74F74">
        <w:t>Wir verzichten absichtlich darauf, die nur sehr bedingt mögliche Bedeutungsdifferenzierung auf</w:t>
      </w:r>
      <w:r w:rsidRPr="00D74F74">
        <w:softHyphen/>
        <w:t>grund der Modi zu verwenden (durch die Anordnung links–rechts ist eine solche Un</w:t>
      </w:r>
      <w:r w:rsidRPr="00D74F74">
        <w:softHyphen/>
        <w:t>ter</w:t>
      </w:r>
      <w:r w:rsidRPr="00D74F74">
        <w:softHyphen/>
        <w:t>schei</w:t>
      </w:r>
      <w:r w:rsidRPr="00D74F74">
        <w:softHyphen/>
        <w:t>dung wenn gewünscht jederzeit möglich).</w:t>
      </w:r>
    </w:p>
    <w:p w:rsidR="00173AFE" w:rsidRPr="00D74F74" w:rsidRDefault="002F405D" w:rsidP="00173AFE">
      <w:pPr>
        <w:pStyle w:val="Subtitel"/>
      </w:pPr>
      <w:r w:rsidRPr="00D74F74">
        <w:t>Vorg</w:t>
      </w:r>
      <w:r w:rsidRPr="00D74F74">
        <w:t>ehen im Unterricht:</w:t>
      </w:r>
    </w:p>
    <w:p w:rsidR="00173AFE" w:rsidRPr="00C74C26" w:rsidRDefault="002F405D" w:rsidP="00173AFE">
      <w:pPr>
        <w:pStyle w:val="Erklrung"/>
        <w:rPr>
          <w:rFonts w:eastAsia="__ _____" w:hAnsi="Arial"/>
          <w:szCs w:val="24"/>
        </w:rPr>
      </w:pPr>
      <w:r w:rsidRPr="00C74C26">
        <w:rPr>
          <w:szCs w:val="24"/>
        </w:rPr>
        <w:t>Zuerst wird die Kernbedeutung „als, wenn“ gezeigt [Klick].</w:t>
      </w:r>
    </w:p>
    <w:p w:rsidR="00173AFE" w:rsidRPr="00173AFE" w:rsidRDefault="002F405D" w:rsidP="00173AFE">
      <w:pPr>
        <w:pStyle w:val="Erklrung"/>
        <w:rPr>
          <w:rFonts w:eastAsia="__ _____"/>
          <w:szCs w:val="24"/>
        </w:rPr>
      </w:pPr>
      <w:r w:rsidRPr="00C74C26">
        <w:rPr>
          <w:rFonts w:eastAsia="__ _____" w:hAnsi="Arial"/>
          <w:szCs w:val="24"/>
        </w:rPr>
        <w:t>Darauf schildert die Lehrkraft die Situation und l</w:t>
      </w:r>
      <w:r w:rsidRPr="00173AFE">
        <w:rPr>
          <w:rFonts w:eastAsia="__ _____"/>
          <w:szCs w:val="24"/>
        </w:rPr>
        <w:t>ässt</w:t>
      </w:r>
      <w:r w:rsidRPr="00C74C26">
        <w:rPr>
          <w:rFonts w:eastAsia="__ _____" w:hAnsi="Arial"/>
          <w:szCs w:val="24"/>
        </w:rPr>
        <w:t xml:space="preserve"> den Satz </w:t>
      </w:r>
      <w:r w:rsidRPr="00C74C26">
        <w:rPr>
          <w:rFonts w:eastAsia="__ _____" w:hAnsi="Arial"/>
          <w:szCs w:val="24"/>
        </w:rPr>
        <w:t>„</w:t>
      </w:r>
      <w:r w:rsidRPr="00173AFE">
        <w:rPr>
          <w:rFonts w:eastAsia="__ _____" w:hAnsi="Arial"/>
          <w:i/>
          <w:szCs w:val="24"/>
        </w:rPr>
        <w:t>Clamant, cum tace(a)nt</w:t>
      </w:r>
      <w:r w:rsidRPr="00C74C26">
        <w:rPr>
          <w:rFonts w:eastAsia="__ _____" w:hAnsi="Arial"/>
          <w:szCs w:val="24"/>
        </w:rPr>
        <w:t>.</w:t>
      </w:r>
      <w:r w:rsidRPr="00C74C26">
        <w:rPr>
          <w:rFonts w:eastAsia="__ _____" w:hAnsi="Arial"/>
          <w:szCs w:val="24"/>
        </w:rPr>
        <w:t>“</w:t>
      </w:r>
      <w:r w:rsidRPr="00C74C26">
        <w:rPr>
          <w:rFonts w:eastAsia="__ _____" w:hAnsi="Arial"/>
          <w:szCs w:val="24"/>
        </w:rPr>
        <w:t xml:space="preserve"> [Klick] </w:t>
      </w:r>
      <w:r w:rsidRPr="00C74C26">
        <w:rPr>
          <w:rFonts w:eastAsia="__ _____" w:hAnsi="Arial"/>
          <w:szCs w:val="24"/>
        </w:rPr>
        <w:t>ü</w:t>
      </w:r>
      <w:r w:rsidRPr="00C74C26">
        <w:rPr>
          <w:rFonts w:eastAsia="__ _____" w:hAnsi="Arial"/>
          <w:szCs w:val="24"/>
        </w:rPr>
        <w:t xml:space="preserve">bersetzen: </w:t>
      </w:r>
      <w:r w:rsidRPr="00C74C26">
        <w:rPr>
          <w:rFonts w:eastAsia="__ _____" w:hAnsi="Arial"/>
          <w:szCs w:val="24"/>
        </w:rPr>
        <w:t>„</w:t>
      </w:r>
      <w:r w:rsidRPr="00C74C26">
        <w:rPr>
          <w:rFonts w:eastAsia="__ _____" w:hAnsi="Arial"/>
          <w:szCs w:val="24"/>
        </w:rPr>
        <w:t>Sie schreien, wenn sie schweigen.</w:t>
      </w:r>
      <w:r w:rsidRPr="00C74C26">
        <w:rPr>
          <w:rFonts w:eastAsia="__ _____" w:hAnsi="Arial"/>
          <w:szCs w:val="24"/>
        </w:rPr>
        <w:t>“</w:t>
      </w:r>
      <w:r w:rsidRPr="00C74C26">
        <w:rPr>
          <w:rFonts w:eastAsia="__ _____" w:hAnsi="Arial"/>
          <w:szCs w:val="24"/>
        </w:rPr>
        <w:t>. Dann muss die Meinung dieses S</w:t>
      </w:r>
      <w:r w:rsidRPr="00C74C26">
        <w:rPr>
          <w:rFonts w:eastAsia="__ _____" w:hAnsi="Arial"/>
          <w:szCs w:val="24"/>
        </w:rPr>
        <w:t>atzes gekl</w:t>
      </w:r>
      <w:r w:rsidRPr="00C74C26">
        <w:rPr>
          <w:rFonts w:eastAsia="__ _____" w:hAnsi="Arial"/>
          <w:szCs w:val="24"/>
        </w:rPr>
        <w:t>ä</w:t>
      </w:r>
      <w:r w:rsidRPr="00C74C26">
        <w:rPr>
          <w:rFonts w:eastAsia="__ _____" w:hAnsi="Arial"/>
          <w:szCs w:val="24"/>
        </w:rPr>
        <w:t>rt werden. Anschliessend sollen die Sch</w:t>
      </w:r>
      <w:r w:rsidRPr="00C74C26">
        <w:rPr>
          <w:rFonts w:eastAsia="__ _____" w:hAnsi="Arial"/>
          <w:szCs w:val="24"/>
        </w:rPr>
        <w:t>ü</w:t>
      </w:r>
      <w:r w:rsidRPr="00C74C26">
        <w:rPr>
          <w:rFonts w:eastAsia="__ _____" w:hAnsi="Arial"/>
          <w:szCs w:val="24"/>
        </w:rPr>
        <w:t>ler die Kernbedeutung durch andere deut</w:t>
      </w:r>
      <w:r w:rsidRPr="00C74C26">
        <w:rPr>
          <w:rFonts w:eastAsia="__ _____" w:hAnsi="Arial"/>
          <w:szCs w:val="24"/>
        </w:rPr>
        <w:softHyphen/>
        <w:t xml:space="preserve">sche Subjunktionen </w:t>
      </w:r>
      <w:r w:rsidRPr="00173AFE">
        <w:rPr>
          <w:rFonts w:eastAsia="__ _____"/>
          <w:szCs w:val="24"/>
        </w:rPr>
        <w:t>ersetzen und prüfen. Durch Klicken auf die verschiedenen Knöpfe (er</w:t>
      </w:r>
      <w:r w:rsidRPr="00173AFE">
        <w:rPr>
          <w:rFonts w:eastAsia="__ _____"/>
          <w:szCs w:val="24"/>
        </w:rPr>
        <w:softHyphen/>
        <w:t>schei</w:t>
      </w:r>
      <w:r w:rsidRPr="00173AFE">
        <w:rPr>
          <w:rFonts w:eastAsia="__ _____"/>
          <w:szCs w:val="24"/>
        </w:rPr>
        <w:softHyphen/>
        <w:t xml:space="preserve">nen durch [Klick]) unten rechts kann die jeweilige deutsche Subjunktion </w:t>
      </w:r>
      <w:r w:rsidRPr="00173AFE">
        <w:rPr>
          <w:rFonts w:eastAsia="__ _____"/>
          <w:szCs w:val="24"/>
        </w:rPr>
        <w:t>eingeblendet werden (bei der dritten Subjunktion wird kein Knopf mehr eingeblendet, sondern man kann diese durch [Klick] einblenden): „indem/usw.“ (Knopf 1), „weil/da/usw.“ (Knopf 2), „ob</w:t>
      </w:r>
      <w:r w:rsidRPr="00173AFE">
        <w:rPr>
          <w:rFonts w:eastAsia="__ _____"/>
          <w:szCs w:val="24"/>
        </w:rPr>
        <w:softHyphen/>
        <w:t>wohl/ob</w:t>
      </w:r>
      <w:r w:rsidRPr="00173AFE">
        <w:rPr>
          <w:rFonts w:eastAsia="__ _____"/>
          <w:szCs w:val="24"/>
        </w:rPr>
        <w:softHyphen/>
        <w:t>gleich/ob</w:t>
      </w:r>
      <w:r w:rsidRPr="00173AFE">
        <w:rPr>
          <w:rFonts w:eastAsia="__ _____"/>
          <w:szCs w:val="24"/>
        </w:rPr>
        <w:softHyphen/>
        <w:t>schon/ auch wenn/usw.“ (Knopf 3).</w:t>
      </w:r>
    </w:p>
    <w:p w:rsidR="00173AFE" w:rsidRPr="00173AFE" w:rsidRDefault="002F405D" w:rsidP="00173AFE">
      <w:pPr>
        <w:pStyle w:val="Erklrung"/>
        <w:rPr>
          <w:rFonts w:eastAsia="__ _____"/>
          <w:szCs w:val="24"/>
        </w:rPr>
      </w:pPr>
      <w:r w:rsidRPr="00173AFE">
        <w:rPr>
          <w:rFonts w:eastAsia="__ _____"/>
          <w:szCs w:val="24"/>
        </w:rPr>
        <w:t>Anschliessend wi</w:t>
      </w:r>
      <w:r w:rsidRPr="00173AFE">
        <w:rPr>
          <w:rFonts w:eastAsia="__ _____"/>
          <w:szCs w:val="24"/>
        </w:rPr>
        <w:t>rd der Satz „</w:t>
      </w:r>
      <w:r w:rsidRPr="00173AFE">
        <w:rPr>
          <w:rFonts w:eastAsia="__ _____"/>
          <w:i/>
          <w:szCs w:val="24"/>
        </w:rPr>
        <w:t>Alii clamant, cum alii taceant</w:t>
      </w:r>
      <w:r w:rsidRPr="00173AFE">
        <w:rPr>
          <w:rFonts w:eastAsia="__ _____"/>
          <w:szCs w:val="24"/>
        </w:rPr>
        <w:t>.“ verwendet [Klick]. Auch hier soll die passende deutsche Subjunktion gesucht werden: „während (dagegen)“ [Klick].</w:t>
      </w:r>
    </w:p>
    <w:p w:rsidR="00173AFE" w:rsidRPr="00173AFE" w:rsidRDefault="002F405D" w:rsidP="00173AFE">
      <w:pPr>
        <w:pStyle w:val="Erklrung"/>
        <w:rPr>
          <w:rFonts w:eastAsia="__ _____"/>
          <w:szCs w:val="24"/>
        </w:rPr>
      </w:pPr>
      <w:r w:rsidRPr="00173AFE">
        <w:rPr>
          <w:szCs w:val="24"/>
        </w:rPr>
        <w:t>Zuletzt müssen die Schüler darauf hingewiesen werden, dass es selbstverständlich noch weitere deu</w:t>
      </w:r>
      <w:r w:rsidRPr="00173AFE">
        <w:rPr>
          <w:szCs w:val="24"/>
        </w:rPr>
        <w:t xml:space="preserve">tsche Subjunktionen gibt, welche für die </w:t>
      </w:r>
      <w:r w:rsidRPr="00173AFE">
        <w:rPr>
          <w:rFonts w:eastAsia="__ _____"/>
          <w:szCs w:val="24"/>
        </w:rPr>
        <w:t xml:space="preserve">Übersetzung von </w:t>
      </w:r>
      <w:r w:rsidRPr="00173AFE">
        <w:rPr>
          <w:rFonts w:eastAsia="__ _____"/>
          <w:i/>
          <w:szCs w:val="24"/>
        </w:rPr>
        <w:t>cum</w:t>
      </w:r>
      <w:r w:rsidRPr="00173AFE">
        <w:rPr>
          <w:rFonts w:eastAsia="__ _____"/>
          <w:szCs w:val="24"/>
        </w:rPr>
        <w:t xml:space="preserve"> in Frage kommen (je nachdem sind diese ja schon zuvor von den Schülern genannt worden) [2 x Klick]. Die Präsentation muss hier manuell beendet werden (z.B. durch die Taste ESC).</w:t>
      </w:r>
    </w:p>
    <w:p w:rsidR="00173AFE" w:rsidRPr="00173AFE" w:rsidRDefault="002F405D" w:rsidP="00173AFE">
      <w:pPr>
        <w:pStyle w:val="Erklrung"/>
      </w:pPr>
      <w:r w:rsidRPr="00173AFE">
        <w:rPr>
          <w:rFonts w:eastAsia="__ _____"/>
          <w:szCs w:val="24"/>
        </w:rPr>
        <w:t>Im Sinne der spra</w:t>
      </w:r>
      <w:r w:rsidRPr="00173AFE">
        <w:rPr>
          <w:rFonts w:eastAsia="__ _____"/>
          <w:szCs w:val="24"/>
        </w:rPr>
        <w:t>chlichen Allgemeinbildung lohnt es sich, auf entsprechend unscharfe Sub</w:t>
      </w:r>
      <w:r w:rsidRPr="00173AFE">
        <w:rPr>
          <w:rFonts w:eastAsia="__ _____"/>
          <w:szCs w:val="24"/>
        </w:rPr>
        <w:softHyphen/>
        <w:t>junk</w:t>
      </w:r>
      <w:r w:rsidRPr="00173AFE">
        <w:rPr>
          <w:rFonts w:eastAsia="__ _____"/>
          <w:szCs w:val="24"/>
        </w:rPr>
        <w:softHyphen/>
        <w:t>tionen im Deutschen hinzuweisen: „während“ (temporal und adversativ), „wie“ (kom</w:t>
      </w:r>
      <w:r w:rsidRPr="00173AFE">
        <w:rPr>
          <w:rFonts w:eastAsia="__ _____"/>
          <w:szCs w:val="24"/>
        </w:rPr>
        <w:softHyphen/>
        <w:t>pa</w:t>
      </w:r>
      <w:r w:rsidRPr="00173AFE">
        <w:rPr>
          <w:rFonts w:eastAsia="__ _____"/>
          <w:szCs w:val="24"/>
        </w:rPr>
        <w:softHyphen/>
        <w:t>ra</w:t>
      </w:r>
      <w:r w:rsidRPr="00173AFE">
        <w:rPr>
          <w:rFonts w:eastAsia="__ _____"/>
          <w:szCs w:val="24"/>
        </w:rPr>
        <w:softHyphen/>
        <w:t xml:space="preserve">tiv und temporal), „wenn“ (temporal und konditional; vgl. die Unterscheidung in Lateinisch, </w:t>
      </w:r>
      <w:r w:rsidRPr="00173AFE">
        <w:rPr>
          <w:rFonts w:eastAsia="__ _____"/>
          <w:szCs w:val="24"/>
        </w:rPr>
        <w:t>Englisch, Französisch, etc.): Es gibt in jeder Sprache scharf und unscharf um</w:t>
      </w:r>
      <w:r w:rsidRPr="00173AFE">
        <w:rPr>
          <w:rFonts w:eastAsia="__ _____"/>
          <w:szCs w:val="24"/>
        </w:rPr>
        <w:softHyphen/>
        <w:t>ris</w:t>
      </w:r>
      <w:r w:rsidRPr="00173AFE">
        <w:rPr>
          <w:rFonts w:eastAsia="__ _____"/>
          <w:szCs w:val="24"/>
        </w:rPr>
        <w:softHyphen/>
        <w:t>se</w:t>
      </w:r>
      <w:r w:rsidRPr="00173AFE">
        <w:rPr>
          <w:rFonts w:eastAsia="__ _____"/>
          <w:szCs w:val="24"/>
        </w:rPr>
        <w:softHyphen/>
        <w:t>ne Sub</w:t>
      </w:r>
      <w:r w:rsidRPr="00173AFE">
        <w:rPr>
          <w:rFonts w:eastAsia="__ _____"/>
          <w:szCs w:val="24"/>
        </w:rPr>
        <w:softHyphen/>
        <w:t>junk</w:t>
      </w:r>
      <w:r w:rsidRPr="00173AFE">
        <w:rPr>
          <w:rFonts w:eastAsia="__ _____"/>
          <w:szCs w:val="24"/>
        </w:rPr>
        <w:softHyphen/>
        <w:t>tio</w:t>
      </w:r>
      <w:r w:rsidRPr="00173AFE">
        <w:rPr>
          <w:rFonts w:eastAsia="__ _____"/>
          <w:szCs w:val="24"/>
        </w:rPr>
        <w:softHyphen/>
        <w:t>nen – sie decken sich „leider“ nicht.</w:t>
      </w:r>
    </w:p>
    <w:sectPr w:rsidR="00173AFE" w:rsidRPr="00173AFE">
      <w:pgSz w:w="11906" w:h="16838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__ _____">
    <w:panose1 w:val="00000000000000000000"/>
    <w:charset w:val="80"/>
    <w:family w:val="decorative"/>
    <w:notTrueType/>
    <w:pitch w:val="default"/>
    <w:sig w:usb0="01000000" w:usb1="00000000" w:usb2="07040001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ctiveWritingStyle w:appName="MSWord" w:lang="de-DE" w:vendorID="6" w:dllVersion="2" w:checkStyle="1"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74402B"/>
    <w:rsid w:val="002F405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" w:hAnsi="Times"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567" w:after="180"/>
      <w:jc w:val="center"/>
      <w:outlineLvl w:val="0"/>
    </w:pPr>
    <w:rPr>
      <w:b/>
      <w:sz w:val="36"/>
    </w:rPr>
  </w:style>
  <w:style w:type="character" w:default="1" w:styleId="Absatz-Standardschriftart">
    <w:name w:val="Absatz-Standardschriftart"/>
  </w:style>
  <w:style w:type="table" w:default="1" w:styleId="NormaleTabelle">
    <w:name w:val="Normal Table"/>
    <w:semiHidden/>
    <w:rPr>
      <w:lang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Aufgabe">
    <w:name w:val="Aufgabe"/>
    <w:basedOn w:val="Standard"/>
    <w:pPr>
      <w:tabs>
        <w:tab w:val="left" w:pos="1134"/>
        <w:tab w:val="left" w:pos="4536"/>
      </w:tabs>
      <w:spacing w:before="240" w:line="300" w:lineRule="atLeast"/>
      <w:ind w:left="567" w:hanging="567"/>
    </w:pPr>
  </w:style>
  <w:style w:type="paragraph" w:styleId="Textkrper">
    <w:name w:val="Body Text"/>
    <w:basedOn w:val="Standard"/>
    <w:rsid w:val="0074402B"/>
    <w:pPr>
      <w:jc w:val="both"/>
    </w:pPr>
  </w:style>
  <w:style w:type="paragraph" w:customStyle="1" w:styleId="Subtitel">
    <w:name w:val="Subtitel"/>
    <w:basedOn w:val="Standard"/>
    <w:next w:val="Erklrung"/>
    <w:rsid w:val="0074402B"/>
    <w:pPr>
      <w:spacing w:before="180" w:after="60"/>
    </w:pPr>
    <w:rPr>
      <w:b/>
    </w:rPr>
  </w:style>
  <w:style w:type="paragraph" w:customStyle="1" w:styleId="Wort">
    <w:name w:val="Wort"/>
    <w:basedOn w:val="Standard"/>
    <w:next w:val="Subtitel"/>
    <w:rsid w:val="0074402B"/>
    <w:pPr>
      <w:spacing w:before="1134"/>
    </w:pPr>
    <w:rPr>
      <w:b/>
      <w:sz w:val="28"/>
    </w:rPr>
  </w:style>
  <w:style w:type="paragraph" w:customStyle="1" w:styleId="Erklrung">
    <w:name w:val="Erklärung"/>
    <w:basedOn w:val="Standard"/>
    <w:rsid w:val="0074402B"/>
    <w:pP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797</Words>
  <Characters>4547</Characters>
  <Application>Microsoft Macintosh Word</Application>
  <DocSecurity>0</DocSecurity>
  <Lines>37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petere</vt:lpstr>
    </vt:vector>
  </TitlesOfParts>
  <Company>cheironos</Company>
  <LinksUpToDate>false</LinksUpToDate>
  <CharactersWithSpaces>5584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petere</dc:title>
  <dc:subject/>
  <dc:creator>Lucius Hartmann</dc:creator>
  <cp:keywords/>
  <cp:lastModifiedBy>Theo Wirth</cp:lastModifiedBy>
  <cp:revision>2</cp:revision>
  <cp:lastPrinted>2004-07-14T11:23:00Z</cp:lastPrinted>
  <dcterms:created xsi:type="dcterms:W3CDTF">2009-12-18T14:40:00Z</dcterms:created>
  <dcterms:modified xsi:type="dcterms:W3CDTF">2009-12-18T14:40:00Z</dcterms:modified>
</cp:coreProperties>
</file>