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D07CC" w14:textId="2498F35A" w:rsidR="009A41A1" w:rsidRDefault="009A41A1" w:rsidP="0005700A">
      <w:pPr>
        <w:pStyle w:val="Titel"/>
      </w:pPr>
      <w:r>
        <w:t>Opioid-Rezeptoren</w:t>
      </w:r>
    </w:p>
    <w:p w14:paraId="03B49669" w14:textId="45836C12" w:rsidR="0005700A" w:rsidRPr="0005700A" w:rsidRDefault="0005700A" w:rsidP="00B327C0">
      <w:pPr>
        <w:pStyle w:val="berschrift1"/>
      </w:pPr>
      <w:r>
        <w:t>Opiodi-Rezeptoren beim synaptischen Spalt</w:t>
      </w:r>
    </w:p>
    <w:p w14:paraId="683BD7A1" w14:textId="0878160D" w:rsidR="0005700A" w:rsidRDefault="00AC4467">
      <w:r>
        <w:t xml:space="preserve">Ergänze in </w:t>
      </w:r>
      <w:r w:rsidR="008125AD">
        <w:t>folgender</w:t>
      </w:r>
      <w:r>
        <w:t xml:space="preserve"> Abbildung hemmende und verstärkende Einflüsse</w:t>
      </w:r>
      <w:r w:rsidR="008125AD">
        <w:t xml:space="preserve">. </w:t>
      </w:r>
    </w:p>
    <w:p w14:paraId="66E6C31A" w14:textId="008C15F7" w:rsidR="009A41A1" w:rsidRDefault="00B800C9" w:rsidP="00B800C9">
      <w:pPr>
        <w:jc w:val="center"/>
      </w:pPr>
      <w:r w:rsidRPr="00B800C9">
        <w:rPr>
          <w:noProof/>
        </w:rPr>
        <w:drawing>
          <wp:inline distT="0" distB="0" distL="0" distR="0" wp14:anchorId="193364DF" wp14:editId="0DF9B711">
            <wp:extent cx="4055151" cy="3638550"/>
            <wp:effectExtent l="0" t="0" r="2540" b="0"/>
            <wp:docPr id="838587439" name="Grafik 1" descr="Ein Bild, das Text, Diagramm, Screensho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87439" name="Grafik 1" descr="Ein Bild, das Text, Diagramm, Screenshot, Karte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9733" cy="364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6A98" w14:textId="77777777" w:rsidR="00C63B4E" w:rsidRDefault="00C63B4E"/>
    <w:p w14:paraId="219C9B28" w14:textId="6CDB1256" w:rsidR="0005700A" w:rsidRDefault="008125AD">
      <w:r>
        <w:t>Folgende Abbildung zeigt ein Rezeptor-Dimer und einen einzelnen Rezeptor, jeweils mit G-Proteinen. Der graue Balken stellt eine Zellmembran dar. Zeichne der unteren Abbildung die Opiat-Bindestelle ein und bezeichne den Opiat-Rezeptor und die verschiedenen Untereinheiten des G-Proteins. Gib an, wo sich das Cyctosol und wo das Interstizium (Zellzwischenraum) befindet. Worher gelangen die Opiate zu den Rezeptoren?</w:t>
      </w:r>
    </w:p>
    <w:p w14:paraId="29F30B2A" w14:textId="5FA50BC7" w:rsidR="002F7770" w:rsidRDefault="002F7770">
      <w:pPr>
        <w:rPr>
          <w:rFonts w:ascii="Cambria Math" w:eastAsiaTheme="majorEastAsia" w:hAnsi="Cambria Math" w:cs="Cambria Math"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1C316729" wp14:editId="59FAAB06">
            <wp:extent cx="5760720" cy="2984500"/>
            <wp:effectExtent l="0" t="0" r="5080" b="0"/>
            <wp:docPr id="635278840" name="Grafik 1" descr="Ein Bild, das Grafikdesign, Kunst, Grafike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78840" name="Grafik 1" descr="Ein Bild, das Grafikdesign, Kunst, Grafiken, Cartoo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50703120"/>
      <w:r>
        <w:rPr>
          <w:rFonts w:ascii="Cambria Math" w:hAnsi="Cambria Math" w:cs="Cambria Math"/>
        </w:rPr>
        <w:br w:type="page"/>
      </w:r>
    </w:p>
    <w:p w14:paraId="1D1A7E94" w14:textId="77777777" w:rsidR="00B327C0" w:rsidRDefault="00B327C0" w:rsidP="00B327C0">
      <w:pPr>
        <w:pStyle w:val="berschrift1"/>
      </w:pPr>
      <w:r>
        <w:rPr>
          <w:rFonts w:ascii="Cambria Math" w:hAnsi="Cambria Math" w:cs="Cambria Math"/>
        </w:rPr>
        <w:lastRenderedPageBreak/>
        <w:t>𝜇</w:t>
      </w:r>
      <w:r>
        <w:t>-Opioid-Rezeptor mit gebundenen Agonisten und Antagonisten</w:t>
      </w:r>
    </w:p>
    <w:p w14:paraId="7EB59AA8" w14:textId="77777777" w:rsidR="00B327C0" w:rsidRDefault="00B327C0" w:rsidP="00B327C0">
      <w:r>
        <w:t xml:space="preserve">Eine Reihe von Molekülen binden den </w:t>
      </w:r>
      <w:r>
        <w:rPr>
          <w:rFonts w:ascii="Cambria Math" w:hAnsi="Cambria Math" w:cs="Cambria Math"/>
        </w:rPr>
        <w:t>𝜇</w:t>
      </w:r>
      <w:r>
        <w:t xml:space="preserve">-Opioid-Rezeptor und aktivieren ihn entweder (Agonisten) oder hemmen ihn (Antagonisten). </w:t>
      </w:r>
    </w:p>
    <w:p w14:paraId="5A2C860C" w14:textId="4BC33040" w:rsidR="00B50515" w:rsidRDefault="00B50515" w:rsidP="00B50515">
      <w:pPr>
        <w:pStyle w:val="berschrift2"/>
      </w:pPr>
      <w:r>
        <w:t>Konformationsänderungen beim Binden von Agonisten und Antagonisten</w:t>
      </w:r>
    </w:p>
    <w:p w14:paraId="77DBD10B" w14:textId="79229134" w:rsidR="00B50515" w:rsidRDefault="00B50515" w:rsidP="00B50515">
      <w:pPr>
        <w:rPr>
          <w:rFonts w:ascii="Cambria Math" w:hAnsi="Cambria Math" w:cs="Cambria Math"/>
        </w:rPr>
      </w:pPr>
      <w:r>
        <w:t xml:space="preserve">Folgende Abbildung zeigt den </w:t>
      </w:r>
      <w:r>
        <w:rPr>
          <w:rFonts w:ascii="Cambria Math" w:hAnsi="Cambria Math" w:cs="Cambria Math"/>
        </w:rPr>
        <w:t>𝜇-Opioid-Rezeptor mit verschiedenen Liganden. Im unteren Bereich der Abbildung sind jeweils G-Proteine zu sehen:</w:t>
      </w:r>
    </w:p>
    <w:p w14:paraId="31372ED8" w14:textId="21F40534" w:rsidR="00B50515" w:rsidRPr="00B50515" w:rsidRDefault="00B50515" w:rsidP="00B50515">
      <w:pPr>
        <w:pStyle w:val="Listenabsatz"/>
        <w:numPr>
          <w:ilvl w:val="0"/>
          <w:numId w:val="2"/>
        </w:numPr>
        <w:tabs>
          <w:tab w:val="left" w:pos="2268"/>
        </w:tabs>
        <w:rPr>
          <w:rFonts w:ascii="Cambria Math" w:hAnsi="Cambria Math" w:cs="Cambria Math"/>
        </w:rPr>
      </w:pPr>
      <w:r w:rsidRPr="00B50515">
        <w:rPr>
          <w:rFonts w:ascii="Cambria Math" w:hAnsi="Cambria Math" w:cs="Cambria Math"/>
        </w:rPr>
        <w:t xml:space="preserve">Blau: </w:t>
      </w:r>
      <w:r>
        <w:rPr>
          <w:rFonts w:ascii="Cambria Math" w:hAnsi="Cambria Math" w:cs="Cambria Math"/>
        </w:rPr>
        <w:tab/>
        <w:t xml:space="preserve">Struktur </w:t>
      </w:r>
      <w:r w:rsidRPr="00B50515">
        <w:rPr>
          <w:rFonts w:ascii="Cambria Math" w:hAnsi="Cambria Math" w:cs="Cambria Math"/>
        </w:rPr>
        <w:t>8</w:t>
      </w:r>
      <w:r>
        <w:rPr>
          <w:rFonts w:ascii="Cambria Math" w:hAnsi="Cambria Math" w:cs="Cambria Math"/>
        </w:rPr>
        <w:t>F</w:t>
      </w:r>
      <w:r w:rsidRPr="00B50515">
        <w:rPr>
          <w:rFonts w:ascii="Cambria Math" w:hAnsi="Cambria Math" w:cs="Cambria Math"/>
        </w:rPr>
        <w:t>7</w:t>
      </w:r>
      <w:r>
        <w:rPr>
          <w:rFonts w:ascii="Cambria Math" w:hAnsi="Cambria Math" w:cs="Cambria Math"/>
        </w:rPr>
        <w:t>R</w:t>
      </w:r>
      <w:r>
        <w:rPr>
          <w:rFonts w:ascii="Cambria Math" w:hAnsi="Cambria Math" w:cs="Cambria Math"/>
        </w:rPr>
        <w:tab/>
        <w:t>mit natürlichem Agonisten (Endomorphin)</w:t>
      </w:r>
    </w:p>
    <w:p w14:paraId="70AF2E3D" w14:textId="0986424A" w:rsidR="00B50515" w:rsidRPr="00B50515" w:rsidRDefault="00B50515" w:rsidP="00B50515">
      <w:pPr>
        <w:pStyle w:val="Listenabsatz"/>
        <w:numPr>
          <w:ilvl w:val="0"/>
          <w:numId w:val="2"/>
        </w:numPr>
        <w:tabs>
          <w:tab w:val="left" w:pos="2268"/>
        </w:tabs>
      </w:pPr>
      <w:r w:rsidRPr="00B50515">
        <w:rPr>
          <w:rFonts w:ascii="Cambria Math" w:hAnsi="Cambria Math" w:cs="Cambria Math"/>
        </w:rPr>
        <w:t xml:space="preserve">Violett: </w:t>
      </w:r>
      <w:r>
        <w:rPr>
          <w:rFonts w:ascii="Cambria Math" w:hAnsi="Cambria Math" w:cs="Cambria Math"/>
        </w:rPr>
        <w:tab/>
        <w:t xml:space="preserve">Struktur </w:t>
      </w:r>
      <w:r w:rsidRPr="00B50515">
        <w:rPr>
          <w:rFonts w:ascii="Cambria Math" w:hAnsi="Cambria Math" w:cs="Cambria Math"/>
        </w:rPr>
        <w:t>8</w:t>
      </w:r>
      <w:r>
        <w:rPr>
          <w:rFonts w:ascii="Cambria Math" w:hAnsi="Cambria Math" w:cs="Cambria Math"/>
        </w:rPr>
        <w:t>EF</w:t>
      </w:r>
      <w:r w:rsidRPr="00B50515">
        <w:rPr>
          <w:rFonts w:ascii="Cambria Math" w:hAnsi="Cambria Math" w:cs="Cambria Math"/>
        </w:rPr>
        <w:t>5</w:t>
      </w:r>
      <w:r>
        <w:rPr>
          <w:rFonts w:ascii="Cambria Math" w:hAnsi="Cambria Math" w:cs="Cambria Math"/>
        </w:rPr>
        <w:tab/>
        <w:t>mit Agonisten Morphin</w:t>
      </w:r>
    </w:p>
    <w:p w14:paraId="5EC02AE0" w14:textId="1E2D607C" w:rsidR="00B50515" w:rsidRPr="00B50515" w:rsidRDefault="00B50515" w:rsidP="00B50515">
      <w:pPr>
        <w:pStyle w:val="Listenabsatz"/>
        <w:numPr>
          <w:ilvl w:val="0"/>
          <w:numId w:val="2"/>
        </w:numPr>
        <w:tabs>
          <w:tab w:val="left" w:pos="2268"/>
        </w:tabs>
      </w:pPr>
      <w:r>
        <w:rPr>
          <w:rFonts w:ascii="Cambria Math" w:hAnsi="Cambria Math" w:cs="Cambria Math"/>
        </w:rPr>
        <w:t xml:space="preserve">Orange: </w:t>
      </w:r>
      <w:r>
        <w:rPr>
          <w:rFonts w:ascii="Cambria Math" w:hAnsi="Cambria Math" w:cs="Cambria Math"/>
        </w:rPr>
        <w:tab/>
        <w:t xml:space="preserve">Struktur </w:t>
      </w:r>
      <w:r w:rsidR="009D62ED" w:rsidRPr="009D62ED">
        <w:rPr>
          <w:rFonts w:ascii="Cambria Math" w:hAnsi="Cambria Math" w:cs="Cambria Math"/>
        </w:rPr>
        <w:t>7</w:t>
      </w:r>
      <w:r w:rsidR="009D62ED">
        <w:rPr>
          <w:rFonts w:ascii="Cambria Math" w:hAnsi="Cambria Math" w:cs="Cambria Math"/>
        </w:rPr>
        <w:t>T</w:t>
      </w:r>
      <w:r w:rsidR="009D62ED" w:rsidRPr="009D62ED">
        <w:rPr>
          <w:rFonts w:ascii="Cambria Math" w:hAnsi="Cambria Math" w:cs="Cambria Math"/>
        </w:rPr>
        <w:t>2</w:t>
      </w:r>
      <w:r w:rsidR="009D62ED">
        <w:rPr>
          <w:rFonts w:ascii="Cambria Math" w:hAnsi="Cambria Math" w:cs="Cambria Math"/>
        </w:rPr>
        <w:t>G</w:t>
      </w:r>
      <w:r>
        <w:rPr>
          <w:rFonts w:ascii="Cambria Math" w:hAnsi="Cambria Math" w:cs="Cambria Math"/>
        </w:rPr>
        <w:t xml:space="preserve"> </w:t>
      </w:r>
      <w:r>
        <w:rPr>
          <w:rFonts w:ascii="Cambria Math" w:hAnsi="Cambria Math" w:cs="Cambria Math"/>
        </w:rPr>
        <w:tab/>
        <w:t xml:space="preserve">mit Antagonisten </w:t>
      </w:r>
      <w:r w:rsidR="009D62ED">
        <w:rPr>
          <w:rFonts w:ascii="Cambria Math" w:hAnsi="Cambria Math" w:cs="Cambria Math"/>
        </w:rPr>
        <w:t>(G-Protein: Grau)</w:t>
      </w:r>
    </w:p>
    <w:p w14:paraId="7EAB8A6D" w14:textId="1A39013F" w:rsidR="00B50515" w:rsidRDefault="009D62ED" w:rsidP="00B50515">
      <w:pPr>
        <w:tabs>
          <w:tab w:val="left" w:pos="2268"/>
        </w:tabs>
      </w:pPr>
      <w:r>
        <w:t>Der Antagonist führt zu leicht anderen Konformationsänderungen, welche dazu führen, dass das Signal nicht durch das G-Protein weitergeleitet werden kann.</w:t>
      </w:r>
    </w:p>
    <w:p w14:paraId="6CBE8200" w14:textId="635EA83D" w:rsidR="00B50515" w:rsidRDefault="009D62ED" w:rsidP="009D62ED">
      <w:pPr>
        <w:jc w:val="center"/>
      </w:pPr>
      <w:r>
        <w:rPr>
          <w:noProof/>
        </w:rPr>
        <w:drawing>
          <wp:inline distT="0" distB="0" distL="0" distR="0" wp14:anchorId="09E98D7C" wp14:editId="0B493432">
            <wp:extent cx="2647855" cy="3418840"/>
            <wp:effectExtent l="0" t="0" r="635" b="0"/>
            <wp:docPr id="12346670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" r="5898"/>
                    <a:stretch/>
                  </pic:blipFill>
                  <pic:spPr bwMode="auto">
                    <a:xfrm>
                      <a:off x="0" y="0"/>
                      <a:ext cx="2654714" cy="34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F880220" wp14:editId="775F818A">
            <wp:extent cx="2601951" cy="3411944"/>
            <wp:effectExtent l="0" t="0" r="8255" b="0"/>
            <wp:docPr id="38205058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r="5801"/>
                    <a:stretch/>
                  </pic:blipFill>
                  <pic:spPr bwMode="auto">
                    <a:xfrm>
                      <a:off x="0" y="0"/>
                      <a:ext cx="2613211" cy="3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1640D" w14:textId="77777777" w:rsidR="00B50515" w:rsidRPr="00B50515" w:rsidRDefault="00B50515" w:rsidP="00B50515"/>
    <w:bookmarkEnd w:id="0"/>
    <w:p w14:paraId="2B6B5D80" w14:textId="77777777" w:rsidR="00B327C0" w:rsidRDefault="00B327C0">
      <w:r>
        <w:br w:type="page"/>
      </w:r>
    </w:p>
    <w:p w14:paraId="4E99E9E4" w14:textId="77777777" w:rsidR="00B327C0" w:rsidRDefault="00B327C0" w:rsidP="00B327C0">
      <w:pPr>
        <w:pStyle w:val="berschrift2"/>
      </w:pPr>
      <w:r>
        <w:lastRenderedPageBreak/>
        <w:t xml:space="preserve">Untersuchung von Rezeptoren mit Agonisten und Antagonisten </w:t>
      </w:r>
    </w:p>
    <w:p w14:paraId="7EFC2C14" w14:textId="339CFFF5" w:rsidR="0005700A" w:rsidRDefault="00B327C0" w:rsidP="0005700A">
      <w:r>
        <w:t xml:space="preserve">Für die Untersuchung stehen </w:t>
      </w:r>
      <w:r w:rsidR="00AC4467">
        <w:t xml:space="preserve">Modelle von </w:t>
      </w:r>
      <w:r>
        <w:t xml:space="preserve">Rezeptoren </w:t>
      </w:r>
      <w:r w:rsidR="00AC4467">
        <w:t xml:space="preserve">mit folgenden </w:t>
      </w:r>
      <w:r w:rsidR="000B7D94">
        <w:t>Liganden</w:t>
      </w:r>
      <w:r>
        <w:t xml:space="preserve"> zur Verfügung.</w:t>
      </w:r>
    </w:p>
    <w:p w14:paraId="3941D2DD" w14:textId="2CBC36A7" w:rsidR="004D7ABB" w:rsidRDefault="004D7ABB" w:rsidP="004D7ABB">
      <w:pPr>
        <w:pStyle w:val="Listenabsatz"/>
        <w:numPr>
          <w:ilvl w:val="0"/>
          <w:numId w:val="3"/>
        </w:numPr>
      </w:pPr>
      <w:r>
        <w:t>Endo</w:t>
      </w:r>
      <w:r w:rsidR="0054252D">
        <w:t>mor</w:t>
      </w:r>
      <w:r>
        <w:t>phin</w:t>
      </w:r>
      <w:r w:rsidR="0054252D">
        <w:t>-1</w:t>
      </w:r>
      <w:r>
        <w:t xml:space="preserve"> ist ein Peptid. Notiere seine Amonisäure-Seqzenz (beginnend beim N-Terminalen Ende. Das Carboxy-Terminale-Ende ist ungewöhnlich.</w:t>
      </w:r>
    </w:p>
    <w:p w14:paraId="7099D4C1" w14:textId="233A947B" w:rsidR="004D7ABB" w:rsidRDefault="004D7ABB" w:rsidP="004D7ABB">
      <w:pPr>
        <w:pStyle w:val="Listenabsatz"/>
        <w:numPr>
          <w:ilvl w:val="0"/>
          <w:numId w:val="3"/>
        </w:numPr>
      </w:pPr>
      <w:r>
        <w:t xml:space="preserve">Von allen Liganden ungeladene Spezies dargestellt. Unter physiologischen Bedingungen liegen sie alle aber weitgehend als Kationen vor. Welche funktionelle Gruppe trägt und physiologischen Bedingungen die positive Ladung? </w:t>
      </w:r>
    </w:p>
    <w:p w14:paraId="44916DDD" w14:textId="0DA8D3DF" w:rsidR="00AC4467" w:rsidRDefault="00AC4467" w:rsidP="00130010">
      <w:pPr>
        <w:pStyle w:val="berschrift3"/>
      </w:pPr>
      <w:r>
        <w:t>Agonisten</w:t>
      </w:r>
    </w:p>
    <w:p w14:paraId="1BEB9221" w14:textId="0762234E" w:rsidR="00AC4467" w:rsidRDefault="004D7ABB" w:rsidP="00130010">
      <w:pPr>
        <w:tabs>
          <w:tab w:val="left" w:pos="4253"/>
          <w:tab w:val="left" w:pos="6663"/>
        </w:tabs>
        <w:ind w:right="-567"/>
      </w:pPr>
      <w:r>
        <w:rPr>
          <w:noProof/>
        </w:rPr>
        <w:object w:dxaOrig="3825" w:dyaOrig="4590" w14:anchorId="102969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191.25pt;height:229.5pt" o:ole="">
            <v:imagedata r:id="rId10" o:title=""/>
          </v:shape>
          <o:OLEObject Type="Embed" ProgID="ACD.ChemSketch.20" ShapeID="_x0000_i1037" DrawAspect="Content" ObjectID="_1763124995" r:id="rId11"/>
        </w:object>
      </w:r>
      <w:r w:rsidR="00130010">
        <w:tab/>
      </w:r>
      <w:r w:rsidR="001B2179">
        <w:rPr>
          <w:noProof/>
        </w:rPr>
        <w:object w:dxaOrig="2055" w:dyaOrig="3975" w14:anchorId="0149181F">
          <v:shape id="_x0000_i1026" type="#_x0000_t75" alt="" style="width:103.5pt;height:198.75pt;mso-width-percent:0;mso-height-percent:0;mso-width-percent:0;mso-height-percent:0" o:ole="">
            <v:imagedata r:id="rId12" o:title=""/>
          </v:shape>
          <o:OLEObject Type="Embed" ProgID="ACD.ChemSketch.20" ShapeID="_x0000_i1026" DrawAspect="Content" ObjectID="_1763124996" r:id="rId13"/>
        </w:object>
      </w:r>
      <w:r w:rsidR="00130010">
        <w:tab/>
      </w:r>
      <w:r>
        <w:rPr>
          <w:noProof/>
        </w:rPr>
        <w:object w:dxaOrig="2745" w:dyaOrig="2250" w14:anchorId="4C36E872">
          <v:shape id="_x0000_i1039" type="#_x0000_t75" alt="" style="width:136.5pt;height:112.5pt" o:ole="">
            <v:imagedata r:id="rId14" o:title=""/>
          </v:shape>
          <o:OLEObject Type="Embed" ProgID="ACD.ChemSketch.20" ShapeID="_x0000_i1039" DrawAspect="Content" ObjectID="_1763124997" r:id="rId15"/>
        </w:object>
      </w:r>
    </w:p>
    <w:p w14:paraId="452A3AA6" w14:textId="01E40527" w:rsidR="00130010" w:rsidRPr="00130010" w:rsidRDefault="000B7D94" w:rsidP="00130010">
      <w:pPr>
        <w:tabs>
          <w:tab w:val="left" w:pos="4395"/>
          <w:tab w:val="left" w:pos="6946"/>
        </w:tabs>
        <w:rPr>
          <w:lang w:val="en-GB"/>
        </w:rPr>
      </w:pPr>
      <w:hyperlink r:id="rId16" w:history="1">
        <w:r w:rsidR="00130010" w:rsidRPr="000B7D94">
          <w:rPr>
            <w:rStyle w:val="Hyperlink"/>
            <w:lang w:val="en-GB"/>
          </w:rPr>
          <w:t>Endo</w:t>
        </w:r>
        <w:r w:rsidR="0054252D" w:rsidRPr="000B7D94">
          <w:rPr>
            <w:rStyle w:val="Hyperlink"/>
            <w:lang w:val="en-GB"/>
          </w:rPr>
          <w:t>mor</w:t>
        </w:r>
        <w:r w:rsidR="00130010" w:rsidRPr="000B7D94">
          <w:rPr>
            <w:rStyle w:val="Hyperlink"/>
            <w:lang w:val="en-GB"/>
          </w:rPr>
          <w:t>phin</w:t>
        </w:r>
        <w:r w:rsidR="0054252D" w:rsidRPr="000B7D94">
          <w:rPr>
            <w:rStyle w:val="Hyperlink"/>
            <w:lang w:val="en-GB"/>
          </w:rPr>
          <w:t>-1</w:t>
        </w:r>
      </w:hyperlink>
      <w:r w:rsidR="00130010" w:rsidRPr="00130010">
        <w:rPr>
          <w:lang w:val="en-GB"/>
        </w:rPr>
        <w:tab/>
        <w:t>Fentanyl</w:t>
      </w:r>
      <w:r w:rsidR="00130010" w:rsidRPr="00130010">
        <w:rPr>
          <w:lang w:val="en-GB"/>
        </w:rPr>
        <w:tab/>
        <w:t>Mo</w:t>
      </w:r>
      <w:r w:rsidR="00130010">
        <w:rPr>
          <w:lang w:val="en-GB"/>
        </w:rPr>
        <w:t>rphin (Morphium)</w:t>
      </w:r>
    </w:p>
    <w:p w14:paraId="64408BEC" w14:textId="77777777" w:rsidR="004D7ABB" w:rsidRDefault="004D7ABB" w:rsidP="00130010">
      <w:pPr>
        <w:pStyle w:val="berschrift3"/>
        <w:rPr>
          <w:lang w:val="en-GB"/>
        </w:rPr>
      </w:pPr>
    </w:p>
    <w:p w14:paraId="57712F9D" w14:textId="7165AA3B" w:rsidR="00AC4467" w:rsidRPr="00130010" w:rsidRDefault="00AC4467" w:rsidP="00130010">
      <w:pPr>
        <w:pStyle w:val="berschrift3"/>
        <w:rPr>
          <w:lang w:val="en-GB"/>
        </w:rPr>
      </w:pPr>
      <w:r w:rsidRPr="00130010">
        <w:rPr>
          <w:lang w:val="en-GB"/>
        </w:rPr>
        <w:t>Antagonist</w:t>
      </w:r>
    </w:p>
    <w:p w14:paraId="28966042" w14:textId="4D6DF353" w:rsidR="00AC4467" w:rsidRPr="00130010" w:rsidRDefault="00BE4997" w:rsidP="0005700A">
      <w:pPr>
        <w:rPr>
          <w:lang w:val="en-GB"/>
        </w:rPr>
      </w:pPr>
      <w:r>
        <w:rPr>
          <w:noProof/>
        </w:rPr>
        <w:object w:dxaOrig="3165" w:dyaOrig="3555" w14:anchorId="37427FA6">
          <v:shape id="_x0000_i1034" type="#_x0000_t75" alt="" style="width:158.25pt;height:177.75pt" o:ole="">
            <v:imagedata r:id="rId17" o:title=""/>
          </v:shape>
          <o:OLEObject Type="Embed" ProgID="ACD.ChemSketch.20" ShapeID="_x0000_i1034" DrawAspect="Content" ObjectID="_1763124998" r:id="rId18"/>
        </w:object>
      </w:r>
    </w:p>
    <w:p w14:paraId="553D4ECC" w14:textId="5D553E03" w:rsidR="00AC4467" w:rsidRPr="00130010" w:rsidRDefault="00130010" w:rsidP="0005700A">
      <w:r w:rsidRPr="00130010">
        <w:t>Alvimopan</w:t>
      </w:r>
    </w:p>
    <w:p w14:paraId="248BCD98" w14:textId="77777777" w:rsidR="002C7685" w:rsidRDefault="002C7685">
      <w:r>
        <w:br w:type="page"/>
      </w:r>
    </w:p>
    <w:p w14:paraId="7215484F" w14:textId="3584039F" w:rsidR="002C7685" w:rsidRDefault="002C7685" w:rsidP="002C7685">
      <w:pPr>
        <w:pStyle w:val="berschrift2"/>
      </w:pPr>
      <w:r>
        <w:lastRenderedPageBreak/>
        <w:t>Auftrag</w:t>
      </w:r>
    </w:p>
    <w:p w14:paraId="253368A0" w14:textId="05F70F5E" w:rsidR="00AC4467" w:rsidRDefault="00AC4467" w:rsidP="0005700A">
      <w:r>
        <w:t xml:space="preserve">Im Protein liegen alle diese Liganden (= bindende Moleküle) als andere Spezies vor als hier und auf der nächsten Seite abgebildet. </w:t>
      </w:r>
    </w:p>
    <w:p w14:paraId="588309D0" w14:textId="263C3738" w:rsidR="00AC4467" w:rsidRDefault="00AC4467" w:rsidP="00AC4467">
      <w:pPr>
        <w:pStyle w:val="Listenabsatz"/>
        <w:numPr>
          <w:ilvl w:val="0"/>
          <w:numId w:val="1"/>
        </w:numPr>
      </w:pPr>
      <w:r>
        <w:t xml:space="preserve">Stelle die gebundenen Liganden </w:t>
      </w:r>
      <w:r w:rsidR="009D0508">
        <w:t xml:space="preserve">auf der folgenden Seite </w:t>
      </w:r>
      <w:r>
        <w:t>korrekt dar (ergänze oder entferne H+, bis die korrekte Spezies dargestellt ist.</w:t>
      </w:r>
      <w:r w:rsidR="009D0508">
        <w:t xml:space="preserve"> Tipp: in den Modellen Menü XXL wählen, dort im Reiter </w:t>
      </w:r>
      <w:r w:rsidR="009D0508">
        <w:rPr>
          <w:i/>
        </w:rPr>
        <w:t>Layout</w:t>
      </w:r>
      <w:r w:rsidR="009D0508">
        <w:t xml:space="preserve"> die Option </w:t>
      </w:r>
      <w:r w:rsidR="009D0508" w:rsidRPr="009D0508">
        <w:rPr>
          <w:i/>
        </w:rPr>
        <w:t>Stereo</w:t>
      </w:r>
      <w:r w:rsidR="009D0508">
        <w:t xml:space="preserve"> einschalten und das Modell mit einer Rot/Cyan-Brille betrachten. </w:t>
      </w:r>
    </w:p>
    <w:p w14:paraId="5884F95D" w14:textId="2E457BD1" w:rsidR="00AC4467" w:rsidRDefault="00AC4467" w:rsidP="00AC4467">
      <w:pPr>
        <w:pStyle w:val="Listenabsatz"/>
        <w:numPr>
          <w:ilvl w:val="0"/>
          <w:numId w:val="1"/>
        </w:numPr>
      </w:pPr>
      <w:r>
        <w:t>Macht die Speziierung Sinn? (Macht es Sinn, dass an den ensprechenden Stellen zusätzliche oder fehlende H</w:t>
      </w:r>
      <w:r w:rsidRPr="00AC4467">
        <w:rPr>
          <w:vertAlign w:val="superscript"/>
        </w:rPr>
        <w:t>+</w:t>
      </w:r>
      <w:r>
        <w:t xml:space="preserve"> auftreten? Vgl pK</w:t>
      </w:r>
      <w:r w:rsidRPr="00AC4467">
        <w:rPr>
          <w:vertAlign w:val="subscript"/>
        </w:rPr>
        <w:t>S</w:t>
      </w:r>
      <w:r>
        <w:t xml:space="preserve">-Werte ähnlicher Molekülteile. </w:t>
      </w:r>
    </w:p>
    <w:p w14:paraId="2B409B7F" w14:textId="7F264A1E" w:rsidR="00AC4467" w:rsidRDefault="00AC4467" w:rsidP="0005700A">
      <w:pPr>
        <w:pStyle w:val="Listenabsatz"/>
        <w:numPr>
          <w:ilvl w:val="0"/>
          <w:numId w:val="1"/>
        </w:numPr>
      </w:pPr>
      <w:r>
        <w:t>Zeichne die Wechselwirkungen zwischen den Liganden und dem Protein ein. Zeichne auch hydrophobe Wechselwirkungen ein</w:t>
      </w:r>
    </w:p>
    <w:p w14:paraId="72D13A5B" w14:textId="7C69C349" w:rsidR="002C7685" w:rsidRDefault="002C7685" w:rsidP="0005700A">
      <w:pPr>
        <w:pStyle w:val="Listenabsatz"/>
        <w:numPr>
          <w:ilvl w:val="0"/>
          <w:numId w:val="1"/>
        </w:numPr>
      </w:pPr>
      <w:r>
        <w:t>Der natürliche Agonist Endorphin (oder «Endomorpin») weist eine Ammoniumgruppe (R</w:t>
      </w:r>
      <w:r>
        <w:rPr>
          <w:rFonts w:ascii="Cambria Math" w:hAnsi="Cambria Math"/>
        </w:rPr>
        <w:t xml:space="preserve"> -NH</w:t>
      </w:r>
      <w:r>
        <w:rPr>
          <w:rFonts w:ascii="Cambria Math" w:hAnsi="Cambria Math" w:cs="Cambria Math"/>
        </w:rPr>
        <w:t>₃⁺</w:t>
      </w:r>
      <w:r>
        <w:t xml:space="preserve">-Gruppe) auf. Welche funktionellen Gruppen in den andren Liganden entsprechen dieser Ammonium-Gruppe?  </w:t>
      </w:r>
    </w:p>
    <w:p w14:paraId="0405CE40" w14:textId="1A580500" w:rsidR="00AC4467" w:rsidRDefault="00AC4467" w:rsidP="0005700A">
      <w:pPr>
        <w:pStyle w:val="Listenabsatz"/>
        <w:numPr>
          <w:ilvl w:val="0"/>
          <w:numId w:val="1"/>
        </w:numPr>
      </w:pPr>
      <w:r>
        <w:t>Werden alle Liganden gleich gebunden oder gibt es Unterschiede?</w:t>
      </w:r>
    </w:p>
    <w:p w14:paraId="3BC9B810" w14:textId="02CDCE70" w:rsidR="00AC4467" w:rsidRDefault="00AC4467" w:rsidP="0005700A">
      <w:pPr>
        <w:pStyle w:val="Listenabsatz"/>
        <w:numPr>
          <w:ilvl w:val="0"/>
          <w:numId w:val="1"/>
        </w:numPr>
      </w:pPr>
      <w:r>
        <w:t>Womit könnte es zusammenhängen, dass der Antagonist zwar an derselben Stelle bindet, aber kein Agonist ist?</w:t>
      </w:r>
    </w:p>
    <w:p w14:paraId="170F655D" w14:textId="77777777" w:rsidR="00AC4467" w:rsidRPr="00AC4467" w:rsidRDefault="00AC4467" w:rsidP="00AC4467">
      <w:r>
        <w:t>Hinweis: Das Protein mit dem Antagonisten Alvimopan weist eine leicht unterschiedliche Aminosäurenummerierung auf. Beispielsweise enspricht Aminosäure Gln 124 in diesem Protein der Aminosäure Gln 126 in den anderen Proteinen.</w:t>
      </w:r>
    </w:p>
    <w:p w14:paraId="2D2EECDD" w14:textId="44B04E1E" w:rsidR="00AC4467" w:rsidRDefault="00AC4467"/>
    <w:p w14:paraId="7F23C73E" w14:textId="77777777" w:rsidR="00AC4467" w:rsidRDefault="00AC4467">
      <w:pPr>
        <w:rPr>
          <w:rFonts w:asciiTheme="majorHAnsi" w:eastAsiaTheme="majorEastAsia" w:hAnsiTheme="majorHAnsi" w:cstheme="majorBidi"/>
          <w:color w:val="C45911" w:themeColor="accent2" w:themeShade="BF"/>
          <w:sz w:val="28"/>
          <w:szCs w:val="28"/>
        </w:rPr>
      </w:pPr>
    </w:p>
    <w:p w14:paraId="12DD9472" w14:textId="77777777" w:rsidR="00AC4467" w:rsidRDefault="00AC4467">
      <w:pPr>
        <w:rPr>
          <w:rFonts w:asciiTheme="majorHAnsi" w:eastAsiaTheme="majorEastAsia" w:hAnsiTheme="majorHAnsi" w:cstheme="majorBidi"/>
          <w:color w:val="C45911" w:themeColor="accent2" w:themeShade="BF"/>
          <w:sz w:val="28"/>
          <w:szCs w:val="28"/>
        </w:rPr>
      </w:pPr>
      <w:r>
        <w:br w:type="page"/>
      </w:r>
    </w:p>
    <w:p w14:paraId="0BAADE3F" w14:textId="3A3A45D7" w:rsidR="0005700A" w:rsidRDefault="0005700A" w:rsidP="00AC4467">
      <w:pPr>
        <w:pStyle w:val="berschrift2"/>
      </w:pPr>
      <w:r>
        <w:lastRenderedPageBreak/>
        <w:t xml:space="preserve">Bindetasche des </w:t>
      </w:r>
      <w:r>
        <w:rPr>
          <w:rFonts w:ascii="Cambria Math" w:hAnsi="Cambria Math" w:cs="Cambria Math"/>
        </w:rPr>
        <w:t>𝜇</w:t>
      </w:r>
      <w:r>
        <w:t>-Opioid-Rezeptors mit</w:t>
      </w:r>
      <w:r w:rsidR="00AC4467">
        <w:t xml:space="preserve"> verschiedenen Liganden</w:t>
      </w:r>
    </w:p>
    <w:p w14:paraId="1DDB068B" w14:textId="68962CAF" w:rsidR="00AC4467" w:rsidRPr="00AC4467" w:rsidRDefault="00AC4467" w:rsidP="00AC446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F2B01" wp14:editId="4642216F">
                <wp:simplePos x="0" y="0"/>
                <wp:positionH relativeFrom="column">
                  <wp:posOffset>2769094</wp:posOffset>
                </wp:positionH>
                <wp:positionV relativeFrom="paragraph">
                  <wp:posOffset>245745</wp:posOffset>
                </wp:positionV>
                <wp:extent cx="11289" cy="3589867"/>
                <wp:effectExtent l="0" t="0" r="27305" b="29845"/>
                <wp:wrapNone/>
                <wp:docPr id="160596340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9" cy="35898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114BC" id="Gerader Verbinde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05pt,19.35pt" to="218.9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" strokecolor="black [3213]" strokeweight=".5pt">
                <v:stroke joinstyle="miter"/>
              </v:line>
            </w:pict>
          </mc:Fallback>
        </mc:AlternateContent>
      </w:r>
    </w:p>
    <w:p w14:paraId="5CA4270E" w14:textId="093A71E2" w:rsidR="0005700A" w:rsidRDefault="004D7ABB" w:rsidP="0005700A">
      <w:pPr>
        <w:ind w:left="-709" w:right="-426"/>
      </w:pPr>
      <w:r>
        <w:rPr>
          <w:noProof/>
        </w:rPr>
        <w:object w:dxaOrig="6645" w:dyaOrig="8160" w14:anchorId="132B739B">
          <v:shape id="_x0000_i1041" type="#_x0000_t75" alt="" style="width:244.5pt;height:298.5pt" o:ole="">
            <v:imagedata r:id="rId19" o:title=""/>
          </v:shape>
          <o:OLEObject Type="Embed" ProgID="ACD.ChemSketch.20" ShapeID="_x0000_i1041" DrawAspect="Content" ObjectID="_1763124999" r:id="rId20"/>
        </w:object>
      </w:r>
      <w:r w:rsidR="0005700A">
        <w:t xml:space="preserve">       </w:t>
      </w:r>
      <w:r w:rsidR="001B2179">
        <w:rPr>
          <w:noProof/>
        </w:rPr>
        <w:object w:dxaOrig="6660" w:dyaOrig="8251" w14:anchorId="312179EF">
          <v:shape id="_x0000_i1030" type="#_x0000_t75" alt="" style="width:240pt;height:297pt;mso-width-percent:0;mso-height-percent:0;mso-width-percent:0;mso-height-percent:0" o:ole="">
            <v:imagedata r:id="rId21" o:title=""/>
          </v:shape>
          <o:OLEObject Type="Embed" ProgID="ACD.ChemSketch.20" ShapeID="_x0000_i1030" DrawAspect="Content" ObjectID="_1763125000" r:id="rId22"/>
        </w:object>
      </w:r>
    </w:p>
    <w:p w14:paraId="4C20923F" w14:textId="49C6F6A4" w:rsidR="0005700A" w:rsidRDefault="0005700A" w:rsidP="0005700A">
      <w:pPr>
        <w:tabs>
          <w:tab w:val="left" w:pos="4395"/>
        </w:tabs>
        <w:ind w:left="-709" w:right="-426"/>
      </w:pPr>
      <w:r>
        <w:t>Endorphin (natürlichem Agonisten)</w:t>
      </w:r>
      <w:r>
        <w:tab/>
      </w:r>
      <w:r>
        <w:tab/>
        <w:t>Fentanyl</w:t>
      </w:r>
    </w:p>
    <w:p w14:paraId="17D26CAC" w14:textId="77777777" w:rsidR="00AC4467" w:rsidRDefault="00AC4467" w:rsidP="0005700A">
      <w:pPr>
        <w:tabs>
          <w:tab w:val="left" w:pos="4395"/>
        </w:tabs>
        <w:ind w:left="-709" w:right="-426"/>
      </w:pPr>
    </w:p>
    <w:p w14:paraId="2A149595" w14:textId="2D79F2DA" w:rsidR="0005700A" w:rsidRDefault="0005700A" w:rsidP="0005700A">
      <w:pPr>
        <w:tabs>
          <w:tab w:val="left" w:pos="4395"/>
        </w:tabs>
        <w:ind w:left="-709" w:righ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75F00" wp14:editId="4310A00B">
                <wp:simplePos x="0" y="0"/>
                <wp:positionH relativeFrom="column">
                  <wp:posOffset>2769094</wp:posOffset>
                </wp:positionH>
                <wp:positionV relativeFrom="paragraph">
                  <wp:posOffset>150918</wp:posOffset>
                </wp:positionV>
                <wp:extent cx="0" cy="3838223"/>
                <wp:effectExtent l="0" t="0" r="38100" b="29210"/>
                <wp:wrapNone/>
                <wp:docPr id="35378717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382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A21E9" id="Gerader Verbinder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05pt,11.9pt" to="218.05pt,3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="001B2179">
        <w:rPr>
          <w:noProof/>
        </w:rPr>
        <w:object w:dxaOrig="6645" w:dyaOrig="8265" w14:anchorId="5690FFD3">
          <v:shape id="_x0000_i1031" type="#_x0000_t75" alt="" style="width:249.75pt;height:310.5pt;mso-width-percent:0;mso-height-percent:0;mso-width-percent:0;mso-height-percent:0" o:ole="">
            <v:imagedata r:id="rId23" o:title=""/>
          </v:shape>
          <o:OLEObject Type="Embed" ProgID="ACD.ChemSketch.20" ShapeID="_x0000_i1031" DrawAspect="Content" ObjectID="_1763125001" r:id="rId24"/>
        </w:object>
      </w:r>
      <w:r>
        <w:t xml:space="preserve">     </w:t>
      </w:r>
      <w:r w:rsidR="001B2179">
        <w:rPr>
          <w:noProof/>
        </w:rPr>
        <w:object w:dxaOrig="6675" w:dyaOrig="7545" w14:anchorId="3BC4CFBD">
          <v:shape id="_x0000_i1032" type="#_x0000_t75" alt="" style="width:246pt;height:277.5pt;mso-width-percent:0;mso-height-percent:0;mso-width-percent:0;mso-height-percent:0" o:ole="">
            <v:imagedata r:id="rId25" o:title=""/>
          </v:shape>
          <o:OLEObject Type="Embed" ProgID="ACD.ChemSketch.20" ShapeID="_x0000_i1032" DrawAspect="Content" ObjectID="_1763125002" r:id="rId26"/>
        </w:object>
      </w:r>
    </w:p>
    <w:p w14:paraId="003A89BC" w14:textId="7997CE5A" w:rsidR="0005700A" w:rsidRDefault="0005700A" w:rsidP="0005700A">
      <w:pPr>
        <w:tabs>
          <w:tab w:val="left" w:pos="4395"/>
        </w:tabs>
        <w:ind w:left="-709" w:right="-426"/>
      </w:pPr>
      <w:r>
        <w:t xml:space="preserve">Morphin </w:t>
      </w:r>
      <w:r>
        <w:tab/>
      </w:r>
      <w:r>
        <w:tab/>
        <w:t>Alvimopan (Antagonist)</w:t>
      </w:r>
    </w:p>
    <w:sectPr w:rsidR="0005700A" w:rsidSect="0005700A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211C0"/>
    <w:multiLevelType w:val="hybridMultilevel"/>
    <w:tmpl w:val="A1E07D1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0551E"/>
    <w:multiLevelType w:val="hybridMultilevel"/>
    <w:tmpl w:val="EFFE824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73873"/>
    <w:multiLevelType w:val="hybridMultilevel"/>
    <w:tmpl w:val="E3C0C744"/>
    <w:lvl w:ilvl="0" w:tplc="B47EF8D6">
      <w:numFmt w:val="bullet"/>
      <w:lvlText w:val=""/>
      <w:lvlJc w:val="left"/>
      <w:pPr>
        <w:ind w:left="720" w:hanging="360"/>
      </w:pPr>
      <w:rPr>
        <w:rFonts w:ascii="Symbol" w:eastAsiaTheme="minorEastAsia" w:hAnsi="Symbol" w:cs="Cambria Math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916483">
    <w:abstractNumId w:val="0"/>
  </w:num>
  <w:num w:numId="2" w16cid:durableId="562368865">
    <w:abstractNumId w:val="2"/>
  </w:num>
  <w:num w:numId="3" w16cid:durableId="591090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21D"/>
    <w:rsid w:val="00047153"/>
    <w:rsid w:val="0005700A"/>
    <w:rsid w:val="000B203E"/>
    <w:rsid w:val="000B7D94"/>
    <w:rsid w:val="000C7BE2"/>
    <w:rsid w:val="00130010"/>
    <w:rsid w:val="001B2179"/>
    <w:rsid w:val="002C7685"/>
    <w:rsid w:val="002F0B9B"/>
    <w:rsid w:val="002F7770"/>
    <w:rsid w:val="003248CA"/>
    <w:rsid w:val="004D7ABB"/>
    <w:rsid w:val="0054252D"/>
    <w:rsid w:val="005C4389"/>
    <w:rsid w:val="00810994"/>
    <w:rsid w:val="008125AD"/>
    <w:rsid w:val="0081720E"/>
    <w:rsid w:val="00834B24"/>
    <w:rsid w:val="00850B2A"/>
    <w:rsid w:val="008B21D8"/>
    <w:rsid w:val="009A41A1"/>
    <w:rsid w:val="009D0508"/>
    <w:rsid w:val="009D62ED"/>
    <w:rsid w:val="00AC4467"/>
    <w:rsid w:val="00AD521D"/>
    <w:rsid w:val="00B2575B"/>
    <w:rsid w:val="00B327C0"/>
    <w:rsid w:val="00B50515"/>
    <w:rsid w:val="00B800C9"/>
    <w:rsid w:val="00BE4997"/>
    <w:rsid w:val="00C63B4E"/>
    <w:rsid w:val="00DF1979"/>
    <w:rsid w:val="00ED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925023"/>
  <w15:chartTrackingRefBased/>
  <w15:docId w15:val="{6D76F480-46E3-4307-8BCA-AAA4B6F6D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700A"/>
  </w:style>
  <w:style w:type="paragraph" w:styleId="berschrift1">
    <w:name w:val="heading 1"/>
    <w:basedOn w:val="Standard"/>
    <w:next w:val="Standard"/>
    <w:link w:val="berschrift1Zchn"/>
    <w:uiPriority w:val="9"/>
    <w:qFormat/>
    <w:rsid w:val="0005700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700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700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570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570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5700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570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5700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570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5700A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700A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5700A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5700A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5700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5700A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5700A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5700A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5700A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5700A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Titel">
    <w:name w:val="Title"/>
    <w:basedOn w:val="Standard"/>
    <w:next w:val="Standard"/>
    <w:link w:val="TitelZchn"/>
    <w:uiPriority w:val="10"/>
    <w:qFormat/>
    <w:rsid w:val="0005700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5700A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5700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5700A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05700A"/>
    <w:rPr>
      <w:b/>
      <w:bCs/>
    </w:rPr>
  </w:style>
  <w:style w:type="character" w:styleId="Hervorhebung">
    <w:name w:val="Emphasis"/>
    <w:basedOn w:val="Absatz-Standardschriftart"/>
    <w:uiPriority w:val="20"/>
    <w:qFormat/>
    <w:rsid w:val="0005700A"/>
    <w:rPr>
      <w:i/>
      <w:iCs/>
    </w:rPr>
  </w:style>
  <w:style w:type="paragraph" w:styleId="KeinLeerraum">
    <w:name w:val="No Spacing"/>
    <w:uiPriority w:val="1"/>
    <w:qFormat/>
    <w:rsid w:val="0005700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5700A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05700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5700A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5700A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05700A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05700A"/>
    <w:rPr>
      <w:b w:val="0"/>
      <w:bCs w:val="0"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sid w:val="0005700A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5700A"/>
    <w:rPr>
      <w:b/>
      <w:bCs/>
      <w:smallCaps/>
      <w:color w:val="4472C4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5700A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5700A"/>
    <w:pPr>
      <w:outlineLvl w:val="9"/>
    </w:pPr>
  </w:style>
  <w:style w:type="character" w:styleId="Platzhaltertext">
    <w:name w:val="Placeholder Text"/>
    <w:basedOn w:val="Absatz-Standardschriftart"/>
    <w:uiPriority w:val="99"/>
    <w:semiHidden/>
    <w:rsid w:val="0005700A"/>
    <w:rPr>
      <w:color w:val="666666"/>
    </w:rPr>
  </w:style>
  <w:style w:type="paragraph" w:styleId="Listenabsatz">
    <w:name w:val="List Paragraph"/>
    <w:basedOn w:val="Standard"/>
    <w:uiPriority w:val="34"/>
    <w:qFormat/>
    <w:rsid w:val="00AC446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B7D9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7D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0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Endomorphin" TargetMode="Externa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B8C5B-70D6-461B-B91D-8BA48EE85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494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 Leisinger</dc:creator>
  <cp:keywords/>
  <dc:description/>
  <cp:lastModifiedBy>Urs</cp:lastModifiedBy>
  <cp:revision>13</cp:revision>
  <dcterms:created xsi:type="dcterms:W3CDTF">2023-12-01T07:14:00Z</dcterms:created>
  <dcterms:modified xsi:type="dcterms:W3CDTF">2023-12-03T15:10:00Z</dcterms:modified>
</cp:coreProperties>
</file>