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85BD" w14:textId="0B8B409C" w:rsidR="00F97701" w:rsidRPr="0085516D" w:rsidRDefault="00F97701" w:rsidP="00F97701">
      <w:pPr>
        <w:rPr>
          <w:rFonts w:ascii="Arial" w:hAnsi="Arial" w:cs="Arial"/>
          <w:b/>
          <w:sz w:val="36"/>
          <w:szCs w:val="36"/>
          <w:lang w:val="de-LI"/>
        </w:rPr>
      </w:pPr>
      <w:r w:rsidRPr="0085516D">
        <w:rPr>
          <w:rFonts w:ascii="Arial" w:hAnsi="Arial" w:cs="Arial"/>
          <w:b/>
          <w:sz w:val="36"/>
          <w:szCs w:val="36"/>
          <w:lang w:val="de-LI"/>
        </w:rPr>
        <w:t>Material für die Kriminalistik-Werkstatt CSI</w:t>
      </w:r>
    </w:p>
    <w:p w14:paraId="609DF575" w14:textId="77777777" w:rsidR="00F97701" w:rsidRPr="0085516D" w:rsidRDefault="00F97701" w:rsidP="00E46704">
      <w:pPr>
        <w:rPr>
          <w:rFonts w:ascii="Arial" w:hAnsi="Arial" w:cs="Arial"/>
          <w:b/>
          <w:sz w:val="32"/>
          <w:szCs w:val="32"/>
          <w:lang w:val="de-LI"/>
        </w:rPr>
      </w:pPr>
    </w:p>
    <w:p w14:paraId="3C670AC5" w14:textId="5DA36671" w:rsidR="00E46704" w:rsidRPr="00200804" w:rsidRDefault="00E46704" w:rsidP="00E46704">
      <w:pPr>
        <w:rPr>
          <w:rFonts w:ascii="Arial" w:hAnsi="Arial" w:cs="Arial"/>
          <w:b/>
          <w:i/>
          <w:sz w:val="28"/>
          <w:szCs w:val="28"/>
          <w:lang w:val="de-LI"/>
        </w:rPr>
      </w:pPr>
      <w:r w:rsidRPr="00200804">
        <w:rPr>
          <w:rFonts w:ascii="Arial" w:hAnsi="Arial" w:cs="Arial"/>
          <w:b/>
          <w:i/>
          <w:sz w:val="28"/>
          <w:szCs w:val="28"/>
          <w:lang w:val="de-LI"/>
        </w:rPr>
        <w:t>Übersicht: Vorbereiten, Ersetzen, Entsorgen (Laborant*in)</w:t>
      </w:r>
    </w:p>
    <w:p w14:paraId="353998B6" w14:textId="77777777" w:rsidR="00E8084A" w:rsidRPr="0085516D" w:rsidRDefault="00E8084A">
      <w:pPr>
        <w:rPr>
          <w:rFonts w:ascii="Arial" w:hAnsi="Arial" w:cs="Arial"/>
          <w:lang w:val="de-LI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972"/>
        <w:gridCol w:w="3686"/>
        <w:gridCol w:w="2977"/>
        <w:gridCol w:w="4961"/>
      </w:tblGrid>
      <w:tr w:rsidR="00D66F47" w:rsidRPr="0085516D" w14:paraId="5BE8D451" w14:textId="2C2DD636" w:rsidTr="00D9412B">
        <w:tc>
          <w:tcPr>
            <w:tcW w:w="2972" w:type="dxa"/>
          </w:tcPr>
          <w:p w14:paraId="5E95BC17" w14:textId="163F0180" w:rsidR="00D66F47" w:rsidRPr="0085516D" w:rsidRDefault="00D66F47" w:rsidP="00EA3CE2">
            <w:pPr>
              <w:rPr>
                <w:rFonts w:ascii="Arial" w:hAnsi="Arial" w:cs="Arial"/>
                <w:b/>
                <w:sz w:val="6"/>
                <w:szCs w:val="6"/>
                <w:lang w:val="de-LI"/>
              </w:rPr>
            </w:pPr>
            <w:r w:rsidRPr="0085516D">
              <w:rPr>
                <w:rFonts w:ascii="Arial" w:hAnsi="Arial" w:cs="Arial"/>
                <w:b/>
                <w:lang w:val="de-LI"/>
              </w:rPr>
              <w:t xml:space="preserve">Fall-Nr. / </w:t>
            </w:r>
            <w:r w:rsidRPr="0085516D">
              <w:rPr>
                <w:rFonts w:ascii="Arial" w:hAnsi="Arial" w:cs="Arial"/>
                <w:b/>
                <w:lang w:val="de-LI"/>
              </w:rPr>
              <w:br/>
            </w:r>
          </w:p>
          <w:p w14:paraId="4050265D" w14:textId="315DB831" w:rsidR="00D66F47" w:rsidRPr="0085516D" w:rsidRDefault="00D66F47" w:rsidP="00EA3CE2">
            <w:pPr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bCs/>
                <w:sz w:val="2"/>
                <w:szCs w:val="2"/>
                <w:lang w:val="de-LI"/>
              </w:rPr>
              <w:t xml:space="preserve"> </w:t>
            </w:r>
          </w:p>
        </w:tc>
        <w:tc>
          <w:tcPr>
            <w:tcW w:w="3686" w:type="dxa"/>
          </w:tcPr>
          <w:p w14:paraId="5DDC869D" w14:textId="5B2D245C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lang w:val="de-LI"/>
              </w:rPr>
              <w:t xml:space="preserve">Material im </w:t>
            </w:r>
            <w:r w:rsidR="00D9412B">
              <w:rPr>
                <w:rFonts w:ascii="Arial" w:hAnsi="Arial" w:cs="Arial"/>
                <w:b/>
                <w:lang w:val="de-LI"/>
              </w:rPr>
              <w:t>Versuchs</w:t>
            </w:r>
            <w:r w:rsidRPr="0085516D">
              <w:rPr>
                <w:rFonts w:ascii="Arial" w:hAnsi="Arial" w:cs="Arial"/>
                <w:b/>
                <w:lang w:val="de-LI"/>
              </w:rPr>
              <w:t>kistchen</w:t>
            </w:r>
          </w:p>
        </w:tc>
        <w:tc>
          <w:tcPr>
            <w:tcW w:w="2977" w:type="dxa"/>
          </w:tcPr>
          <w:p w14:paraId="78053921" w14:textId="6BA28B7B" w:rsidR="00D66F47" w:rsidRDefault="00D66F47" w:rsidP="00EA3CE2">
            <w:pPr>
              <w:rPr>
                <w:rFonts w:ascii="Arial" w:hAnsi="Arial" w:cs="Arial"/>
                <w:b/>
                <w:lang w:val="de-LI"/>
              </w:rPr>
            </w:pPr>
            <w:r w:rsidRPr="0085516D">
              <w:rPr>
                <w:rFonts w:ascii="Arial" w:hAnsi="Arial" w:cs="Arial"/>
                <w:b/>
                <w:lang w:val="de-LI"/>
              </w:rPr>
              <w:t xml:space="preserve">Material </w:t>
            </w:r>
            <w:r w:rsidR="00D9412B">
              <w:rPr>
                <w:rFonts w:ascii="Arial" w:hAnsi="Arial" w:cs="Arial"/>
                <w:b/>
                <w:lang w:val="de-LI"/>
              </w:rPr>
              <w:t>im Vorrats</w:t>
            </w:r>
            <w:r w:rsidRPr="0085516D">
              <w:rPr>
                <w:rFonts w:ascii="Arial" w:hAnsi="Arial" w:cs="Arial"/>
                <w:b/>
                <w:lang w:val="de-LI"/>
              </w:rPr>
              <w:t>kistchen</w:t>
            </w:r>
          </w:p>
          <w:p w14:paraId="70252427" w14:textId="446F2C59" w:rsidR="00D9412B" w:rsidRPr="0085516D" w:rsidRDefault="00D9412B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7DAD8A60" w14:textId="692A5CC5" w:rsidR="00D66F47" w:rsidRDefault="005F3809" w:rsidP="00EA3CE2">
            <w:pPr>
              <w:rPr>
                <w:rFonts w:ascii="Arial" w:hAnsi="Arial" w:cs="Arial"/>
                <w:b/>
                <w:lang w:val="de-LI"/>
              </w:rPr>
            </w:pPr>
            <w:r>
              <w:rPr>
                <w:rFonts w:ascii="Arial" w:hAnsi="Arial" w:cs="Arial"/>
                <w:b/>
                <w:lang w:val="de-LI"/>
              </w:rPr>
              <w:t>Vorbereitung</w:t>
            </w:r>
            <w:r w:rsidR="00D66F47" w:rsidRPr="0085516D">
              <w:rPr>
                <w:rFonts w:ascii="Arial" w:hAnsi="Arial" w:cs="Arial"/>
                <w:b/>
                <w:lang w:val="de-LI"/>
              </w:rPr>
              <w:t xml:space="preserve"> Laborant*in</w:t>
            </w:r>
            <w:r w:rsidR="00D9412B">
              <w:rPr>
                <w:rFonts w:ascii="Arial" w:hAnsi="Arial" w:cs="Arial"/>
                <w:b/>
                <w:lang w:val="de-LI"/>
              </w:rPr>
              <w:t xml:space="preserve"> / </w:t>
            </w:r>
            <w:r w:rsidR="00D9412B" w:rsidRPr="0085516D">
              <w:rPr>
                <w:rFonts w:ascii="Arial" w:hAnsi="Arial" w:cs="Arial"/>
                <w:b/>
                <w:lang w:val="de-LI"/>
              </w:rPr>
              <w:t>Bemerkungen</w:t>
            </w:r>
          </w:p>
          <w:p w14:paraId="757FA0D8" w14:textId="4F976293" w:rsidR="00D9412B" w:rsidRPr="0085516D" w:rsidRDefault="00D9412B" w:rsidP="00EA3CE2">
            <w:pPr>
              <w:rPr>
                <w:rFonts w:ascii="Arial" w:hAnsi="Arial" w:cs="Arial"/>
                <w:b/>
                <w:lang w:val="de-LI"/>
              </w:rPr>
            </w:pPr>
          </w:p>
        </w:tc>
      </w:tr>
      <w:tr w:rsidR="00D66F47" w:rsidRPr="0085516D" w14:paraId="279AC06F" w14:textId="3C4A6665" w:rsidTr="00D9412B">
        <w:tc>
          <w:tcPr>
            <w:tcW w:w="2972" w:type="dxa"/>
          </w:tcPr>
          <w:p w14:paraId="79A4EC9B" w14:textId="77777777" w:rsidR="00D66F47" w:rsidRPr="0085516D" w:rsidRDefault="00D66F47" w:rsidP="00EA3CE2">
            <w:pPr>
              <w:tabs>
                <w:tab w:val="left" w:pos="1080"/>
              </w:tabs>
              <w:ind w:left="1080" w:hanging="1080"/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  <w:t>1: Mord in Badewanne</w:t>
            </w:r>
          </w:p>
          <w:p w14:paraId="600BB242" w14:textId="77777777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060BA43B" w14:textId="3A939CDE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3686" w:type="dxa"/>
          </w:tcPr>
          <w:p w14:paraId="306F74D7" w14:textId="7777777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Mischung 1: Sand/ Salz-Gemisch, Verhältnis: 0.2g NaCl plus ca. 3 bis 5g Sand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br/>
            </w:r>
          </w:p>
          <w:p w14:paraId="03D55DC7" w14:textId="7777777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Mischung 2: Sand/ Salz-Gemisch, Verhältnis: 1.5g NaCl plus ca. 3 bis 5g Sand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br/>
            </w:r>
          </w:p>
          <w:p w14:paraId="5294E782" w14:textId="7777777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Faltenfilter, Trichter, Bechergläser 600ml u. 100ml, Erlenmeyer 100ml</w:t>
            </w:r>
          </w:p>
          <w:p w14:paraId="3E82FB65" w14:textId="0314DDFD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41F32337" w14:textId="77777777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4EEF2D06" w14:textId="273460FC" w:rsidR="00D80F0B" w:rsidRDefault="00D9412B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>Bemerkung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  <w:t>Da dieser Versuch etwas länger dauert idealerweise doppelt führen (2 identische Kistchen machen)</w:t>
            </w:r>
          </w:p>
          <w:p w14:paraId="0D470823" w14:textId="1A89E6C0" w:rsidR="00D80F0B" w:rsidRPr="0085516D" w:rsidRDefault="00D80F0B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</w:tr>
      <w:tr w:rsidR="00D66F47" w:rsidRPr="0085516D" w14:paraId="282B42EB" w14:textId="790FD937" w:rsidTr="00D9412B">
        <w:tc>
          <w:tcPr>
            <w:tcW w:w="2972" w:type="dxa"/>
          </w:tcPr>
          <w:p w14:paraId="737C6C37" w14:textId="240AEA52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2: Check-Fälscher</w:t>
            </w:r>
          </w:p>
          <w:p w14:paraId="0750801B" w14:textId="77777777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42307D9B" w14:textId="22AE88F6" w:rsidR="00D66F47" w:rsidRPr="0085516D" w:rsidRDefault="00D66F47" w:rsidP="005F3809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5C075411" w14:textId="732E5D5A" w:rsidR="001C0DE2" w:rsidRDefault="00D66F47" w:rsidP="001C0D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1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DC-Wann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e</w:t>
            </w:r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,</w:t>
            </w:r>
            <w:r w:rsidR="001C0DE2"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Ethanol</w:t>
            </w:r>
          </w:p>
          <w:p w14:paraId="17320C81" w14:textId="6B7ECB40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Kieselgel-Plättchen</w:t>
            </w:r>
          </w:p>
          <w:p w14:paraId="6BDF7853" w14:textId="7D699723" w:rsidR="001216CE" w:rsidRPr="0085516D" w:rsidRDefault="001216CE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kleiner Lineal/Massstab, Bleistift</w:t>
            </w:r>
          </w:p>
          <w:p w14:paraId="4AAB4C8E" w14:textId="202D9915" w:rsidR="00D66F47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untersch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iedliche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schwarze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Filzstifte</w:t>
            </w:r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: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z.B.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Edding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 1340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brush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pen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,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Stabilo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 „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Tri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Scribbi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“ und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Stabilo</w:t>
            </w:r>
            <w:proofErr w:type="spellEnd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proofErr w:type="spellStart"/>
            <w:r w:rsidR="001C0DE2">
              <w:rPr>
                <w:rFonts w:ascii="Arial" w:hAnsi="Arial" w:cs="Arial"/>
                <w:sz w:val="20"/>
                <w:szCs w:val="20"/>
                <w:lang w:val="de-LI"/>
              </w:rPr>
              <w:t>OHPen</w:t>
            </w:r>
            <w:proofErr w:type="spellEnd"/>
          </w:p>
          <w:p w14:paraId="594F85EA" w14:textId="39068865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5AD13D58" w14:textId="77777777" w:rsidR="00D66F47" w:rsidRPr="0085516D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36B79A96" w14:textId="368F626C" w:rsidR="00D9412B" w:rsidRDefault="00D9412B" w:rsidP="00EA3CE2">
            <w:pPr>
              <w:rPr>
                <w:rFonts w:ascii="Arial" w:hAnsi="Arial" w:cs="Arial"/>
                <w:bCs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LI"/>
              </w:rPr>
              <w:t>Gebrauchte DC-Plättchen entsorgen</w:t>
            </w:r>
            <w:r w:rsidR="00BD6186">
              <w:rPr>
                <w:rFonts w:ascii="Arial" w:hAnsi="Arial" w:cs="Arial"/>
                <w:bCs/>
                <w:sz w:val="20"/>
                <w:szCs w:val="20"/>
                <w:lang w:val="de-LI"/>
              </w:rPr>
              <w:t>, Kontrolle der Stifte</w:t>
            </w:r>
            <w:r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 </w:t>
            </w:r>
          </w:p>
          <w:p w14:paraId="1FBC6B7B" w14:textId="77777777" w:rsidR="00D9412B" w:rsidRDefault="00D9412B" w:rsidP="00EA3CE2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de-LI"/>
              </w:rPr>
            </w:pPr>
          </w:p>
          <w:p w14:paraId="700CFD27" w14:textId="3CB25039" w:rsidR="00D9412B" w:rsidRPr="00D9412B" w:rsidRDefault="00D9412B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>Bemerkung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  <w:t>Da dieser Versuch etwas länger dauert idealerweise doppelt führen (2 identische Kistchen machen)</w:t>
            </w:r>
          </w:p>
        </w:tc>
      </w:tr>
      <w:tr w:rsidR="00D66F47" w:rsidRPr="0085516D" w14:paraId="7723665C" w14:textId="3D58A9D8" w:rsidTr="00D9412B">
        <w:tc>
          <w:tcPr>
            <w:tcW w:w="2972" w:type="dxa"/>
          </w:tcPr>
          <w:p w14:paraId="5FCD1E16" w14:textId="401F985A" w:rsidR="00D66F47" w:rsidRPr="0085516D" w:rsidRDefault="00D66F47" w:rsidP="00EA3CE2">
            <w:pPr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  <w:t>3: Fingerabdrücke</w:t>
            </w:r>
          </w:p>
          <w:p w14:paraId="172498F4" w14:textId="720C7D76" w:rsidR="00D66F47" w:rsidRPr="0085516D" w:rsidRDefault="00D66F47" w:rsidP="00EA3CE2">
            <w:pPr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</w:pPr>
          </w:p>
          <w:p w14:paraId="3EBAE3B6" w14:textId="242BD1E2" w:rsidR="00D66F47" w:rsidRPr="0085516D" w:rsidRDefault="00D66F47" w:rsidP="00EA3CE2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val="de-LI"/>
              </w:rPr>
            </w:pPr>
          </w:p>
          <w:p w14:paraId="7EB96BC1" w14:textId="77777777" w:rsidR="00D66F47" w:rsidRPr="0085516D" w:rsidRDefault="00D66F47" w:rsidP="00EA3CE2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44770E78" w14:textId="2B95B359" w:rsidR="00D66F47" w:rsidRPr="0085516D" w:rsidRDefault="00D66F47" w:rsidP="00EA3CE2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Cs/>
                <w:sz w:val="20"/>
                <w:szCs w:val="20"/>
                <w:u w:val="single"/>
                <w:lang w:val="de-LI"/>
              </w:rPr>
              <w:t>Glas</w:t>
            </w:r>
            <w:r w:rsidRPr="0085516D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gefäss mit </w:t>
            </w:r>
            <w:r w:rsidRPr="0085516D">
              <w:rPr>
                <w:rFonts w:ascii="Arial" w:hAnsi="Arial" w:cs="Arial"/>
                <w:bCs/>
                <w:sz w:val="20"/>
                <w:szCs w:val="20"/>
                <w:u w:val="single"/>
                <w:lang w:val="de-LI"/>
              </w:rPr>
              <w:t>Glas</w:t>
            </w:r>
            <w:r w:rsidRPr="0085516D">
              <w:rPr>
                <w:rFonts w:ascii="Arial" w:hAnsi="Arial" w:cs="Arial"/>
                <w:bCs/>
                <w:sz w:val="20"/>
                <w:szCs w:val="20"/>
                <w:lang w:val="de-LI"/>
              </w:rPr>
              <w:t>deckel, enthaltend einige Körnchen Iod.</w:t>
            </w:r>
          </w:p>
          <w:p w14:paraId="6C7F11C5" w14:textId="1A11F69C" w:rsidR="00D66F47" w:rsidRPr="0085516D" w:rsidRDefault="00D66F47" w:rsidP="00EA3CE2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Cs/>
                <w:sz w:val="20"/>
                <w:szCs w:val="20"/>
                <w:lang w:val="de-LI"/>
              </w:rPr>
              <w:t>1 Pinsel für Fingerabdruck-Pulver</w:t>
            </w:r>
          </w:p>
          <w:p w14:paraId="055818F3" w14:textId="157051E9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1 grosse Plastikschale (d&gt;20cm) </w:t>
            </w:r>
          </w:p>
          <w:p w14:paraId="6D095E10" w14:textId="46C7FA84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150 ml Bechergläser</w:t>
            </w:r>
          </w:p>
          <w:p w14:paraId="509387CA" w14:textId="7777777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Kleenex</w:t>
            </w:r>
          </w:p>
          <w:p w14:paraId="536E232E" w14:textId="5BEDECC2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Cs/>
                <w:sz w:val="20"/>
                <w:szCs w:val="20"/>
                <w:lang w:val="de-LI"/>
              </w:rPr>
              <w:t>spez. Fingerabdruck-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oder sehr feines Graphitpulver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br/>
              <w:t>(</w:t>
            </w:r>
            <w:hyperlink r:id="rId5" w:history="1">
              <w:r w:rsidR="00BD6186" w:rsidRPr="00ED0356">
                <w:rPr>
                  <w:rStyle w:val="Hyperlink"/>
                  <w:rFonts w:ascii="Arial" w:hAnsi="Arial" w:cs="Arial"/>
                  <w:sz w:val="20"/>
                  <w:szCs w:val="20"/>
                  <w:lang w:val="de-LI"/>
                </w:rPr>
                <w:t>www.atg-kriminaltechnik.de</w:t>
              </w:r>
            </w:hyperlink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)</w:t>
            </w:r>
          </w:p>
          <w:p w14:paraId="7223E595" w14:textId="341F459A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Papier-Streifen 3x5cm</w:t>
            </w:r>
          </w:p>
          <w:p w14:paraId="014D4E56" w14:textId="6FC1A4E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Klebefolie-Stücke (4x6cm, daher etwas grösser als Papier!) </w:t>
            </w:r>
          </w:p>
          <w:p w14:paraId="3BBB2C3A" w14:textId="07949BED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Zeitungen zum Auslegen</w:t>
            </w:r>
          </w:p>
          <w:p w14:paraId="6C61209A" w14:textId="0B6DF730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Aceton</w:t>
            </w:r>
          </w:p>
          <w:p w14:paraId="2A67CB64" w14:textId="20AAFF87" w:rsidR="00D66F47" w:rsidRPr="0085516D" w:rsidRDefault="00D66F47" w:rsidP="00EA3CE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166D3D2C" w14:textId="77777777" w:rsidR="00D66F47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Kleiner Vorrat an Iod-Körnchen</w:t>
            </w:r>
          </w:p>
          <w:p w14:paraId="149792F4" w14:textId="77777777" w:rsidR="00D66F47" w:rsidRDefault="00D66F47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6AF293F7" w14:textId="570253C9" w:rsidR="00D66F47" w:rsidRPr="00B946D6" w:rsidRDefault="00D66F47" w:rsidP="00EA3CE2">
            <w:pPr>
              <w:rPr>
                <w:rFonts w:ascii="Arial" w:hAnsi="Arial" w:cs="Arial"/>
                <w:i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6FA07B56" w14:textId="445DA8ED" w:rsidR="005F3809" w:rsidRPr="00D9412B" w:rsidRDefault="005F3809" w:rsidP="005F3809">
            <w:pPr>
              <w:rPr>
                <w:rFonts w:ascii="Arial" w:hAnsi="Arial" w:cs="Arial"/>
                <w:bCs/>
                <w:sz w:val="20"/>
                <w:szCs w:val="20"/>
                <w:lang w:val="de-LI"/>
              </w:rPr>
            </w:pPr>
            <w:r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Kontrolle </w:t>
            </w:r>
            <w:r w:rsidR="00D9412B"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ob einige wenig </w:t>
            </w:r>
            <w:r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>Iod</w:t>
            </w:r>
            <w:r w:rsidR="00D9412B"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>-Körnchen</w:t>
            </w:r>
            <w:r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 im Iod-Gefäss</w:t>
            </w:r>
            <w:r w:rsidR="00D9412B" w:rsidRPr="00D9412B">
              <w:rPr>
                <w:rFonts w:ascii="Arial" w:hAnsi="Arial" w:cs="Arial"/>
                <w:bCs/>
                <w:sz w:val="20"/>
                <w:szCs w:val="20"/>
                <w:lang w:val="de-LI"/>
              </w:rPr>
              <w:t xml:space="preserve"> sind</w:t>
            </w:r>
            <w:r w:rsidR="009E0F92">
              <w:rPr>
                <w:rFonts w:ascii="Arial" w:hAnsi="Arial" w:cs="Arial"/>
                <w:bCs/>
                <w:sz w:val="20"/>
                <w:szCs w:val="20"/>
                <w:lang w:val="de-LI"/>
              </w:rPr>
              <w:t>. Genug Papier-Streifen und Klebefolie-Stücke vorhanden?</w:t>
            </w:r>
          </w:p>
          <w:p w14:paraId="310BEE8F" w14:textId="77777777" w:rsidR="00D80F0B" w:rsidRDefault="00D80F0B" w:rsidP="00EA3CE2">
            <w:pPr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</w:pPr>
          </w:p>
          <w:p w14:paraId="0D7893DF" w14:textId="136B52DA" w:rsidR="00D66F47" w:rsidRPr="0085516D" w:rsidRDefault="00D9412B" w:rsidP="00EA3CE2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>Bemerkungen</w:t>
            </w:r>
            <w:r w:rsidR="00D80F0B" w:rsidRPr="00B946D6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>:</w:t>
            </w:r>
            <w:r w:rsidR="00D80F0B" w:rsidRPr="00B946D6"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 auf die Dauer gehen nur Glasgefässe</w:t>
            </w:r>
            <w:r w:rsidR="00D80F0B"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 fürs Iod</w:t>
            </w:r>
            <w:r w:rsidR="00D80F0B" w:rsidRPr="00B946D6">
              <w:rPr>
                <w:rFonts w:ascii="Arial" w:hAnsi="Arial" w:cs="Arial"/>
                <w:i/>
                <w:sz w:val="20"/>
                <w:szCs w:val="20"/>
                <w:lang w:val="de-LI"/>
              </w:rPr>
              <w:t>. Kunststoff färbt sich, Metall korrodiert.</w:t>
            </w:r>
          </w:p>
        </w:tc>
      </w:tr>
    </w:tbl>
    <w:p w14:paraId="30E5243B" w14:textId="77777777" w:rsidR="009E0F92" w:rsidRDefault="009E0F92">
      <w:r>
        <w:br w:type="page"/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972"/>
        <w:gridCol w:w="3686"/>
        <w:gridCol w:w="2977"/>
        <w:gridCol w:w="4961"/>
      </w:tblGrid>
      <w:tr w:rsidR="00D66F47" w:rsidRPr="0085516D" w14:paraId="011883A4" w14:textId="77777777" w:rsidTr="00D9412B">
        <w:tc>
          <w:tcPr>
            <w:tcW w:w="2972" w:type="dxa"/>
          </w:tcPr>
          <w:p w14:paraId="799A0554" w14:textId="11742CBE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lastRenderedPageBreak/>
              <w:t>4: Leuchtende Blutspuren</w:t>
            </w:r>
          </w:p>
          <w:p w14:paraId="24CB54D7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14B5DFE5" w14:textId="0B1DB510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2A86C533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Spatel</w:t>
            </w:r>
          </w:p>
          <w:p w14:paraId="0F47FF09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Stechhilfen zur Blutentnahme (Apotheke: 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„</w:t>
            </w:r>
            <w:proofErr w:type="spellStart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Accu-Chek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“,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Roche) </w:t>
            </w:r>
          </w:p>
          <w:p w14:paraId="580FB703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Pflaster </w:t>
            </w:r>
          </w:p>
          <w:p w14:paraId="6DECD783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Desinfektionsmittel</w:t>
            </w:r>
          </w:p>
          <w:p w14:paraId="3214AC3C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Baumwollstücklein ca. 2x2 cm </w:t>
            </w:r>
          </w:p>
          <w:p w14:paraId="5E204626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50ml Bechergläser</w:t>
            </w:r>
          </w:p>
          <w:p w14:paraId="172FFD2B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Luminol-Lösung: 100 ml H</w:t>
            </w:r>
            <w:r w:rsidRPr="0085516D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O</w:t>
            </w:r>
            <w:r w:rsidRPr="0085516D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(1%) mit 0.2 g Luminol mischen, solange verd. NaOH zugeben, bis sich das Luminol gelöst hat.</w:t>
            </w:r>
          </w:p>
          <w:p w14:paraId="27101A89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Wattepads</w:t>
            </w:r>
          </w:p>
          <w:p w14:paraId="205AFF6D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2FD6D149" w14:textId="77777777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O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 10-15%</w:t>
            </w:r>
          </w:p>
          <w:p w14:paraId="5F27BD5A" w14:textId="435B165B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Luminol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 (Feststoff)</w:t>
            </w:r>
          </w:p>
          <w:p w14:paraId="12980BC0" w14:textId="77777777" w:rsidR="00D66F47" w:rsidRDefault="00D66F47" w:rsidP="009E0F92">
            <w:pPr>
              <w:ind w:left="177" w:hanging="177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Rinderblutpulver (z.B. „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LI"/>
              </w:rPr>
              <w:t>Canina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“, als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LI"/>
              </w:rPr>
              <w:t>Nahrungser-gänzungsmittel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 für Hund erhältlich) falls sich jemand nicht stechen will oder dies nicht gemacht werden darf</w:t>
            </w:r>
          </w:p>
          <w:p w14:paraId="5E05CB04" w14:textId="77777777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63911FC8" w14:textId="1D8BB03E" w:rsidR="005F3809" w:rsidRPr="00D80F0B" w:rsidRDefault="005F3809" w:rsidP="005F3809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Kontrolle: genügend Pflaster, Desinfektions</w:t>
            </w:r>
            <w:r w:rsidR="00D80F0B" w:rsidRPr="00D80F0B">
              <w:rPr>
                <w:rFonts w:ascii="Arial" w:hAnsi="Arial" w:cs="Arial"/>
                <w:sz w:val="20"/>
                <w:szCs w:val="20"/>
                <w:lang w:val="de-LI"/>
              </w:rPr>
              <w:t>-</w:t>
            </w:r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mittel und Stechhilfen?</w:t>
            </w:r>
            <w:r w:rsidR="00D80F0B" w:rsidRPr="00D80F0B">
              <w:rPr>
                <w:rFonts w:ascii="Arial" w:hAnsi="Arial" w:cs="Arial"/>
                <w:sz w:val="20"/>
                <w:szCs w:val="20"/>
                <w:lang w:val="de-LI"/>
              </w:rPr>
              <w:t xml:space="preserve"> Luminol-Lösung noch ok?</w:t>
            </w:r>
          </w:p>
          <w:p w14:paraId="4B012905" w14:textId="5A7424A5" w:rsidR="005F3809" w:rsidRPr="00D80F0B" w:rsidRDefault="005F3809" w:rsidP="005F3809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34AEC142" w14:textId="77777777" w:rsidR="00D80F0B" w:rsidRPr="00D80F0B" w:rsidRDefault="00D80F0B" w:rsidP="005F3809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06705595" w14:textId="08AB5A7D" w:rsidR="002A5685" w:rsidRPr="00D80F0B" w:rsidRDefault="002A5685" w:rsidP="005F3809">
            <w:pPr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b/>
                <w:i/>
                <w:iCs/>
                <w:sz w:val="20"/>
                <w:szCs w:val="20"/>
                <w:lang w:val="de-LI"/>
              </w:rPr>
              <w:t xml:space="preserve">Bemerkungen: </w:t>
            </w:r>
            <w:r w:rsidRPr="00D80F0B"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  <w:t>Luminol-Lösung hält i.a. 1-2 Monate</w:t>
            </w:r>
            <w:r w:rsidR="00D9412B"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  <w:t>.</w:t>
            </w:r>
          </w:p>
          <w:p w14:paraId="1F4A512A" w14:textId="0CFAA3F3" w:rsidR="00D66F47" w:rsidRPr="00D80F0B" w:rsidRDefault="005F3809" w:rsidP="005F3809">
            <w:pPr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i/>
                <w:iCs/>
                <w:sz w:val="20"/>
                <w:szCs w:val="20"/>
                <w:lang w:val="de-LI"/>
              </w:rPr>
              <w:t>Wenn die Luminol-Lösung nicht mehr geht, reicht es oft, einfach nochmals etwas Wasserstoffperoxid zuzusetzen</w:t>
            </w:r>
          </w:p>
        </w:tc>
      </w:tr>
      <w:tr w:rsidR="00D66F47" w:rsidRPr="0085516D" w14:paraId="530C82EE" w14:textId="77777777" w:rsidTr="00D9412B">
        <w:tc>
          <w:tcPr>
            <w:tcW w:w="2972" w:type="dxa"/>
          </w:tcPr>
          <w:p w14:paraId="3734510F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br w:type="page"/>
            </w: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5: Gas-Explosion</w:t>
            </w:r>
          </w:p>
          <w:p w14:paraId="369016E4" w14:textId="77777777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6D167B6C" w14:textId="084919E4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Low-</w:t>
            </w:r>
            <w:proofErr w:type="spellStart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Cost</w:t>
            </w:r>
            <w:proofErr w:type="spellEnd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GC von Kappenberg inkl. Notebook mit Programm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br/>
            </w:r>
            <w:r w:rsidR="005F3809">
              <w:rPr>
                <w:rFonts w:ascii="Arial" w:hAnsi="Arial" w:cs="Arial"/>
                <w:sz w:val="20"/>
                <w:szCs w:val="20"/>
                <w:lang w:val="de-LI"/>
              </w:rPr>
              <w:t>(</w:t>
            </w:r>
            <w:r w:rsidR="002A5685">
              <w:rPr>
                <w:rFonts w:ascii="Arial" w:hAnsi="Arial" w:cs="Arial"/>
                <w:sz w:val="20"/>
                <w:szCs w:val="20"/>
                <w:lang w:val="de-LI"/>
              </w:rPr>
              <w:t>Vertrieb</w:t>
            </w:r>
            <w:r w:rsidR="00D80F0B">
              <w:rPr>
                <w:rFonts w:ascii="Arial" w:hAnsi="Arial" w:cs="Arial"/>
                <w:sz w:val="20"/>
                <w:szCs w:val="20"/>
                <w:lang w:val="de-LI"/>
              </w:rPr>
              <w:t xml:space="preserve"> CH</w:t>
            </w:r>
            <w:r w:rsidR="005F3809">
              <w:rPr>
                <w:rFonts w:ascii="Arial" w:hAnsi="Arial" w:cs="Arial"/>
                <w:sz w:val="20"/>
                <w:szCs w:val="20"/>
                <w:lang w:val="de-LI"/>
              </w:rPr>
              <w:t>: Ragen Pfeiffer</w:t>
            </w:r>
            <w:r w:rsidR="00D80F0B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hyperlink r:id="rId6" w:history="1">
              <w:r w:rsidR="00D80F0B" w:rsidRPr="00ED0356">
                <w:rPr>
                  <w:rStyle w:val="Hyperlink"/>
                  <w:rFonts w:ascii="Arial" w:hAnsi="Arial" w:cs="Arial"/>
                  <w:sz w:val="20"/>
                  <w:szCs w:val="20"/>
                  <w:lang w:val="de-LI"/>
                </w:rPr>
                <w:t>www.toytomics.com</w:t>
              </w:r>
            </w:hyperlink>
            <w:r>
              <w:rPr>
                <w:rFonts w:ascii="Arial" w:hAnsi="Arial" w:cs="Arial"/>
                <w:sz w:val="20"/>
                <w:szCs w:val="20"/>
                <w:lang w:val="de-LI"/>
              </w:rPr>
              <w:t>)</w:t>
            </w:r>
          </w:p>
          <w:p w14:paraId="1289E050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Spritze 1-5ml mit Nadel</w:t>
            </w:r>
          </w:p>
          <w:p w14:paraId="50CAF794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14E5EB2B" w14:textId="581A1B7A" w:rsidR="00D9412B" w:rsidRDefault="00D9412B" w:rsidP="009E0F92">
            <w:pPr>
              <w:ind w:left="177" w:hanging="177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9412B">
              <w:rPr>
                <w:rFonts w:ascii="Arial" w:hAnsi="Arial" w:cs="Arial"/>
                <w:sz w:val="20"/>
                <w:szCs w:val="20"/>
                <w:lang w:val="de-LI"/>
              </w:rPr>
              <w:t>Gaskartusche Nachfülldose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 (Propan/Butan-Gas)</w:t>
            </w:r>
          </w:p>
          <w:p w14:paraId="4602F3AF" w14:textId="77777777" w:rsidR="009E0F92" w:rsidRDefault="009E0F92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1588BEF0" w14:textId="36BEB2DB" w:rsidR="009E0F92" w:rsidRDefault="009E0F92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Methangas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-Flasche</w:t>
            </w:r>
          </w:p>
        </w:tc>
        <w:tc>
          <w:tcPr>
            <w:tcW w:w="4961" w:type="dxa"/>
          </w:tcPr>
          <w:p w14:paraId="3A11AC51" w14:textId="77777777" w:rsidR="00D66F47" w:rsidRPr="00D80F0B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</w:tr>
      <w:tr w:rsidR="00D66F47" w:rsidRPr="0085516D" w14:paraId="723B31B3" w14:textId="77777777" w:rsidTr="00D9412B">
        <w:tc>
          <w:tcPr>
            <w:tcW w:w="2972" w:type="dxa"/>
          </w:tcPr>
          <w:p w14:paraId="2DBA6B05" w14:textId="77777777" w:rsidR="00D66F47" w:rsidRPr="0085516D" w:rsidRDefault="00D66F47" w:rsidP="00D66F47">
            <w:pPr>
              <w:rPr>
                <w:rFonts w:ascii="Arial" w:hAnsi="Arial" w:cs="Arial"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bCs/>
                <w:sz w:val="22"/>
                <w:szCs w:val="22"/>
                <w:lang w:val="de-LI"/>
              </w:rPr>
              <w:t>6:</w:t>
            </w:r>
            <w:r w:rsidRPr="0085516D">
              <w:rPr>
                <w:rFonts w:ascii="Arial" w:hAnsi="Arial" w:cs="Arial"/>
                <w:sz w:val="22"/>
                <w:szCs w:val="22"/>
                <w:lang w:val="de-LI"/>
              </w:rPr>
              <w:t xml:space="preserve"> </w:t>
            </w: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Wer hat geschossen?</w:t>
            </w:r>
          </w:p>
          <w:p w14:paraId="0F760A25" w14:textId="78CB3120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35F189B4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0.1 M Bariumnitratlösung</w:t>
            </w:r>
          </w:p>
          <w:p w14:paraId="0E3C85A7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0.1 M Bleinitratlösung, (ev. mit HNO</w:t>
            </w:r>
            <w:r w:rsidRPr="0085516D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3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verd. ansäuern)</w:t>
            </w:r>
          </w:p>
          <w:p w14:paraId="42E0012E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Gefäss zur Entsorgung der Schwermetall-Lösungen</w:t>
            </w:r>
          </w:p>
          <w:p w14:paraId="269A0D51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sz w:val="20"/>
                <w:szCs w:val="20"/>
                <w:lang w:val="de-LI"/>
              </w:rPr>
              <w:t>Weinsäurelösung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: 85 g Weinsäure, 2.5 g Benzoesäure ad 1000 ml dH</w:t>
            </w:r>
            <w:r w:rsidRPr="0085516D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O.</w:t>
            </w:r>
          </w:p>
          <w:p w14:paraId="7EFD9A77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Fön</w:t>
            </w:r>
          </w:p>
          <w:p w14:paraId="621BB05A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Rundfilter-Papiere d=5-8cm</w:t>
            </w:r>
          </w:p>
          <w:p w14:paraId="5B4966E7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Textilien oder Lappen präpariert mit Schmauchspuren, alternativ gebrauchte Patronenhülsen</w:t>
            </w:r>
          </w:p>
          <w:p w14:paraId="3E6FDE85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29FD8F93" w14:textId="77777777" w:rsidR="00D66F47" w:rsidRPr="0085516D" w:rsidRDefault="00D66F47" w:rsidP="00D66F47">
            <w:pPr>
              <w:rPr>
                <w:rFonts w:ascii="Arial" w:hAnsi="Arial" w:cs="Arial"/>
                <w:b/>
                <w:sz w:val="20"/>
                <w:szCs w:val="20"/>
                <w:lang w:val="de-LI"/>
              </w:rPr>
            </w:pPr>
            <w:proofErr w:type="spellStart"/>
            <w:r w:rsidRPr="0085516D">
              <w:rPr>
                <w:rFonts w:ascii="Arial" w:hAnsi="Arial" w:cs="Arial"/>
                <w:b/>
                <w:sz w:val="20"/>
                <w:szCs w:val="20"/>
                <w:lang w:val="de-LI"/>
              </w:rPr>
              <w:t>Natriumrhodizonat</w:t>
            </w:r>
            <w:proofErr w:type="spellEnd"/>
            <w:r w:rsidRPr="0085516D">
              <w:rPr>
                <w:rFonts w:ascii="Arial" w:hAnsi="Arial" w:cs="Arial"/>
                <w:b/>
                <w:sz w:val="20"/>
                <w:szCs w:val="20"/>
                <w:lang w:val="de-LI"/>
              </w:rPr>
              <w:t xml:space="preserve">-Lösung: </w:t>
            </w:r>
          </w:p>
          <w:p w14:paraId="7F79C434" w14:textId="77777777" w:rsidR="00D66F47" w:rsidRPr="0085516D" w:rsidRDefault="00D66F47" w:rsidP="00D66F47">
            <w:pPr>
              <w:rPr>
                <w:rFonts w:ascii="Arial" w:hAnsi="Arial" w:cs="Arial"/>
                <w:b/>
                <w:sz w:val="20"/>
                <w:szCs w:val="20"/>
                <w:lang w:val="de-LI"/>
              </w:rPr>
            </w:pPr>
            <w:proofErr w:type="spellStart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Rhodizonat</w:t>
            </w:r>
            <w:proofErr w:type="spellEnd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-Lösung muss täglich frisch gemacht werden! </w:t>
            </w:r>
          </w:p>
          <w:p w14:paraId="7D68FBDE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3F9372F4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Eines der portionierten Pillengläschen à 0.025g </w:t>
            </w:r>
          </w:p>
          <w:p w14:paraId="64B86D2E" w14:textId="16ADC57F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proofErr w:type="spellStart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Natiumrhodizonat</w:t>
            </w:r>
            <w:proofErr w:type="spellEnd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in den 25ml Messkolben geben und in 25ml dH</w:t>
            </w:r>
            <w:r w:rsidRPr="0085516D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O auflösen.</w:t>
            </w:r>
          </w:p>
        </w:tc>
        <w:tc>
          <w:tcPr>
            <w:tcW w:w="4961" w:type="dxa"/>
          </w:tcPr>
          <w:p w14:paraId="43B84CEC" w14:textId="77777777" w:rsidR="002A5685" w:rsidRPr="00D80F0B" w:rsidRDefault="002A5685" w:rsidP="002A5685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 xml:space="preserve">Kontrolle ob genügend Pulverfläschchen mit </w:t>
            </w:r>
            <w:proofErr w:type="spellStart"/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Rhodizonat</w:t>
            </w:r>
            <w:proofErr w:type="spellEnd"/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- Portionen à 0.025mg bereitstehen.</w:t>
            </w:r>
          </w:p>
          <w:p w14:paraId="106BC39E" w14:textId="77777777" w:rsidR="002A5685" w:rsidRPr="00D80F0B" w:rsidRDefault="002A5685" w:rsidP="002A5685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113C3BA0" w14:textId="77777777" w:rsidR="002A5685" w:rsidRPr="00D80F0B" w:rsidRDefault="002A5685" w:rsidP="002A5685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Petrischalen ersetzen</w:t>
            </w:r>
          </w:p>
          <w:p w14:paraId="4EC81794" w14:textId="77777777" w:rsidR="002A5685" w:rsidRPr="00D80F0B" w:rsidRDefault="002A5685" w:rsidP="002A5685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7D005FD4" w14:textId="6D3D7A48" w:rsidR="002A5685" w:rsidRPr="00D80F0B" w:rsidRDefault="002A5685" w:rsidP="002A5685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sz w:val="20"/>
                <w:szCs w:val="20"/>
                <w:lang w:val="de-LI"/>
              </w:rPr>
              <w:t>Gefäss zur Entsorgung der Schwermetall-Lösungen leeren</w:t>
            </w:r>
          </w:p>
          <w:p w14:paraId="6E06E703" w14:textId="77777777" w:rsidR="002A5685" w:rsidRPr="00D80F0B" w:rsidRDefault="002A5685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667F4816" w14:textId="77777777" w:rsidR="00D66F47" w:rsidRPr="00D80F0B" w:rsidRDefault="002A5685" w:rsidP="00D66F47">
            <w:pPr>
              <w:rPr>
                <w:rFonts w:ascii="Arial" w:hAnsi="Arial" w:cs="Arial"/>
                <w:i/>
                <w:sz w:val="20"/>
                <w:szCs w:val="20"/>
                <w:lang w:val="de-LI"/>
              </w:rPr>
            </w:pPr>
            <w:r w:rsidRPr="00D80F0B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 xml:space="preserve">Bemerkung: </w:t>
            </w:r>
            <w:r w:rsidRPr="00D80F0B">
              <w:rPr>
                <w:rFonts w:ascii="Arial" w:hAnsi="Arial" w:cs="Arial"/>
                <w:i/>
                <w:sz w:val="20"/>
                <w:szCs w:val="20"/>
                <w:lang w:val="de-LI"/>
              </w:rPr>
              <w:t>Wo nicht mit den Blei- oder Bariumlösungen gearbeitet werden darf, kann stattdessen das Video für den Versuch angeschaut werden. Details im Versuchsbeschrieb.</w:t>
            </w:r>
          </w:p>
          <w:p w14:paraId="124167E3" w14:textId="47496A49" w:rsidR="002A5685" w:rsidRPr="00D80F0B" w:rsidRDefault="002A5685" w:rsidP="00D66F47">
            <w:pPr>
              <w:rPr>
                <w:rFonts w:ascii="Arial" w:hAnsi="Arial" w:cs="Arial"/>
                <w:i/>
                <w:sz w:val="20"/>
                <w:szCs w:val="20"/>
                <w:lang w:val="de-LI"/>
              </w:rPr>
            </w:pPr>
          </w:p>
        </w:tc>
      </w:tr>
    </w:tbl>
    <w:p w14:paraId="6F533007" w14:textId="77777777" w:rsidR="009E0F92" w:rsidRDefault="009E0F92">
      <w:r>
        <w:br w:type="page"/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2972"/>
        <w:gridCol w:w="3686"/>
        <w:gridCol w:w="2977"/>
        <w:gridCol w:w="4961"/>
      </w:tblGrid>
      <w:tr w:rsidR="00D66F47" w:rsidRPr="0085516D" w14:paraId="40628848" w14:textId="77777777" w:rsidTr="00D9412B">
        <w:tc>
          <w:tcPr>
            <w:tcW w:w="2972" w:type="dxa"/>
          </w:tcPr>
          <w:p w14:paraId="277AACDA" w14:textId="0EE7D7EC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lastRenderedPageBreak/>
              <w:t xml:space="preserve">7: </w:t>
            </w:r>
            <w:proofErr w:type="spellStart"/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Vandalenakt</w:t>
            </w:r>
            <w:proofErr w:type="spellEnd"/>
          </w:p>
          <w:p w14:paraId="2845FC8A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3DC53080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50E27C9C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326D6AC9" w14:textId="1BD34BE9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Cs/>
                <w:sz w:val="22"/>
                <w:szCs w:val="22"/>
                <w:highlight w:val="yellow"/>
                <w:lang w:val="de-LI"/>
              </w:rPr>
              <w:t xml:space="preserve"> </w:t>
            </w:r>
          </w:p>
        </w:tc>
        <w:tc>
          <w:tcPr>
            <w:tcW w:w="3686" w:type="dxa"/>
          </w:tcPr>
          <w:p w14:paraId="1413D7F4" w14:textId="2E9FDF70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Kieselgel 60, (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>z.B. Carl Roth)</w:t>
            </w:r>
          </w:p>
          <w:p w14:paraId="585068DB" w14:textId="34A5462E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Minisäulen: Pipetten von alten </w:t>
            </w:r>
            <w:proofErr w:type="spellStart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Pipettenflaschen</w:t>
            </w:r>
            <w:proofErr w:type="spellEnd"/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, gefüllt mit wenig Watte und etwas Kieselgel </w:t>
            </w:r>
          </w:p>
          <w:p w14:paraId="1FD382C3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Toluol </w:t>
            </w:r>
          </w:p>
          <w:p w14:paraId="104C2738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b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Testfarbstoff Gemisch I (CAMAG, Art. 032.8001) „</w:t>
            </w:r>
            <w:r w:rsidRPr="0085516D">
              <w:rPr>
                <w:rFonts w:ascii="Arial" w:hAnsi="Arial" w:cs="Arial"/>
                <w:b/>
                <w:sz w:val="20"/>
                <w:szCs w:val="20"/>
                <w:lang w:val="de-LI"/>
              </w:rPr>
              <w:t>abgeriebenes Mauermaterial“</w:t>
            </w:r>
          </w:p>
          <w:p w14:paraId="5489418B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30A46629" w14:textId="77777777" w:rsidR="00D66F47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Verschliessbares Gefäss zur Entsorgung der gebrauchten Minisäulen (mit Toluol), möglichst nicht durchsichtig, so dass man die schon gebrauchten Säulen der anderen Gruppen nicht sieht.</w:t>
            </w:r>
          </w:p>
          <w:p w14:paraId="2AA66F01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4DFD3814" w14:textId="754D9E4E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116B2F55" w14:textId="33B70281" w:rsidR="00D66F47" w:rsidRDefault="00D80F0B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Gebrauchte Minisäulen leeren und wieder vorbereiten: mit kleinem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LI"/>
              </w:rPr>
              <w:t>Wattepropf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 vorn verschliessen, dann zu 60% mit Kieselgel-Pulver füllen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r w:rsidR="009E0F92" w:rsidRPr="0085516D">
              <w:rPr>
                <w:rFonts w:ascii="Arial" w:hAnsi="Arial" w:cs="Arial"/>
                <w:sz w:val="20"/>
                <w:szCs w:val="20"/>
                <w:lang w:val="de-LI"/>
              </w:rPr>
              <w:t>(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kann man </w:t>
            </w:r>
            <w:r w:rsidR="009E0F92"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trocken </w:t>
            </w:r>
            <w:proofErr w:type="spellStart"/>
            <w:r w:rsidR="009E0F92" w:rsidRPr="0085516D">
              <w:rPr>
                <w:rFonts w:ascii="Arial" w:hAnsi="Arial" w:cs="Arial"/>
                <w:sz w:val="20"/>
                <w:szCs w:val="20"/>
                <w:lang w:val="de-LI"/>
              </w:rPr>
              <w:t>reinpipettieren</w:t>
            </w:r>
            <w:proofErr w:type="spellEnd"/>
            <w:r w:rsidR="009E0F92" w:rsidRPr="0085516D">
              <w:rPr>
                <w:rFonts w:ascii="Arial" w:hAnsi="Arial" w:cs="Arial"/>
                <w:sz w:val="20"/>
                <w:szCs w:val="20"/>
                <w:lang w:val="de-LI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.</w:t>
            </w:r>
            <w:r w:rsidR="009E0F92"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 </w:t>
            </w:r>
          </w:p>
          <w:p w14:paraId="1B121D61" w14:textId="77777777" w:rsidR="008A3311" w:rsidRDefault="008A3311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42F5AAE2" w14:textId="77777777" w:rsidR="008A3311" w:rsidRDefault="008A3311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  <w:p w14:paraId="65A98AF3" w14:textId="29D5464A" w:rsidR="008A3311" w:rsidRPr="008A3311" w:rsidRDefault="008A3311" w:rsidP="008A3311">
            <w:pPr>
              <w:rPr>
                <w:rFonts w:ascii="Arial" w:hAnsi="Arial" w:cs="Arial"/>
                <w:i/>
                <w:sz w:val="20"/>
                <w:szCs w:val="20"/>
                <w:lang w:val="de-LI"/>
              </w:rPr>
            </w:pPr>
            <w:r w:rsidRPr="008A3311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 xml:space="preserve">Bemerkung: </w:t>
            </w:r>
            <w:r w:rsidRPr="008A3311"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Diesen Versuch wegen des Toluols 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besser </w:t>
            </w:r>
            <w:r w:rsidRPr="008A3311">
              <w:rPr>
                <w:rFonts w:ascii="Arial" w:hAnsi="Arial" w:cs="Arial"/>
                <w:i/>
                <w:sz w:val="20"/>
                <w:szCs w:val="20"/>
                <w:lang w:val="de-LI"/>
              </w:rPr>
              <w:t>im Abzug aufstellen!</w:t>
            </w:r>
          </w:p>
          <w:p w14:paraId="065D3262" w14:textId="20FDC830" w:rsidR="008A3311" w:rsidRDefault="008A3311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</w:tr>
      <w:tr w:rsidR="00D66F47" w:rsidRPr="0085516D" w14:paraId="20A0DCCF" w14:textId="77777777" w:rsidTr="00D9412B">
        <w:tc>
          <w:tcPr>
            <w:tcW w:w="2972" w:type="dxa"/>
          </w:tcPr>
          <w:p w14:paraId="4A6098F7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8: Raubmord</w:t>
            </w:r>
          </w:p>
          <w:p w14:paraId="2B8BE3F3" w14:textId="77777777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76D920CE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Metallgegenstände aus Wolframcarbid und Stahl (ca.7cm x 2.5 cm) 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sym w:font="Wingdings" w:char="F0E0"/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möglichst verschieden und unförmig (z.B. Stab vs. Rohr)</w:t>
            </w:r>
          </w:p>
          <w:p w14:paraId="30B49B33" w14:textId="4F25C29B" w:rsidR="00D66F47" w:rsidRPr="0085516D" w:rsidRDefault="00D66F47" w:rsidP="009E0F92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250 ml Plastikmesszylinder (besser kein Glas).</w:t>
            </w:r>
          </w:p>
        </w:tc>
        <w:tc>
          <w:tcPr>
            <w:tcW w:w="2977" w:type="dxa"/>
          </w:tcPr>
          <w:p w14:paraId="1BB2B6AA" w14:textId="77777777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32166802" w14:textId="488BE641" w:rsidR="00D80F0B" w:rsidRPr="009E0F92" w:rsidRDefault="002A5685" w:rsidP="00D66F47">
            <w:pPr>
              <w:rPr>
                <w:rFonts w:ascii="Arial" w:hAnsi="Arial" w:cs="Arial"/>
                <w:i/>
                <w:sz w:val="20"/>
                <w:szCs w:val="20"/>
                <w:lang w:val="de-LI"/>
              </w:rPr>
            </w:pPr>
            <w:r w:rsidRPr="002A5685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 xml:space="preserve">Bemerkung: 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Kleine Wo</w:t>
            </w:r>
            <w:r w:rsidRPr="002A5685">
              <w:rPr>
                <w:rFonts w:ascii="Arial" w:hAnsi="Arial" w:cs="Arial"/>
                <w:i/>
                <w:sz w:val="20"/>
                <w:szCs w:val="20"/>
                <w:lang w:val="de-LI"/>
              </w:rPr>
              <w:t>lframcarbid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-Reste oder -Abfälle sind oft gut zu bekommen, wenn man etwas rumfragt. Eine gute Quelle</w:t>
            </w:r>
            <w:r w:rsidR="009E0F92">
              <w:rPr>
                <w:rFonts w:ascii="Arial" w:hAnsi="Arial" w:cs="Arial"/>
                <w:i/>
                <w:sz w:val="20"/>
                <w:szCs w:val="20"/>
                <w:lang w:val="de-LI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 die ich hier angeben könnte, habe ich leider nicht gefunden. Um Hinweise bin ich dankbar! </w:t>
            </w:r>
            <w:r w:rsidR="009E0F92">
              <w:rPr>
                <w:rFonts w:ascii="Arial" w:hAnsi="Arial" w:cs="Arial"/>
                <w:i/>
                <w:sz w:val="20"/>
                <w:szCs w:val="20"/>
                <w:lang w:val="de-LI"/>
              </w:rPr>
              <w:t>Alternativ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 irgendein Metall</w:t>
            </w:r>
            <w:r w:rsidR="009E0F92">
              <w:rPr>
                <w:rFonts w:ascii="Arial" w:hAnsi="Arial" w:cs="Arial"/>
                <w:i/>
                <w:sz w:val="20"/>
                <w:szCs w:val="20"/>
                <w:lang w:val="de-LI"/>
              </w:rPr>
              <w:t>g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egen</w:t>
            </w:r>
            <w:r w:rsidR="009E0F92">
              <w:rPr>
                <w:rFonts w:ascii="Arial" w:hAnsi="Arial" w:cs="Arial"/>
                <w:i/>
                <w:sz w:val="20"/>
                <w:szCs w:val="20"/>
                <w:lang w:val="de-LI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stand, die Schlussfolgerung ist dann einfach negativ.</w:t>
            </w:r>
          </w:p>
        </w:tc>
      </w:tr>
      <w:tr w:rsidR="00D66F47" w:rsidRPr="0085516D" w14:paraId="56946991" w14:textId="77777777" w:rsidTr="00D9412B">
        <w:tc>
          <w:tcPr>
            <w:tcW w:w="2972" w:type="dxa"/>
          </w:tcPr>
          <w:p w14:paraId="4C48D668" w14:textId="77777777" w:rsidR="00E44AC9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 xml:space="preserve">9: Mikroplastikspuren </w:t>
            </w:r>
            <w:r w:rsidR="00E44AC9">
              <w:rPr>
                <w:rFonts w:ascii="Arial" w:hAnsi="Arial" w:cs="Arial"/>
                <w:b/>
                <w:sz w:val="22"/>
                <w:szCs w:val="22"/>
                <w:lang w:val="de-LI"/>
              </w:rPr>
              <w:t xml:space="preserve">   </w:t>
            </w:r>
          </w:p>
          <w:p w14:paraId="78C955DC" w14:textId="4C78E58D" w:rsidR="00D66F47" w:rsidRPr="0085516D" w:rsidRDefault="00E44AC9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LI"/>
              </w:rPr>
              <w:t xml:space="preserve">    </w:t>
            </w:r>
            <w:r w:rsidR="00D66F47"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nach Juwelenraub</w:t>
            </w:r>
          </w:p>
        </w:tc>
        <w:tc>
          <w:tcPr>
            <w:tcW w:w="3686" w:type="dxa"/>
          </w:tcPr>
          <w:p w14:paraId="29573DA7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Alufolie</w:t>
            </w:r>
          </w:p>
          <w:p w14:paraId="12E4E731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Heizplatte</w:t>
            </w:r>
          </w:p>
          <w:p w14:paraId="5EEFCFAF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72860D20" w14:textId="77777777" w:rsidR="00D66F47" w:rsidRPr="0085516D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>Mikrogranulat I: Sand</w:t>
            </w:r>
          </w:p>
          <w:p w14:paraId="1BB28C06" w14:textId="02A72A80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Mikrogranulat II: grauer, schmelzbarer Kunststoff (Betondübel, </w:t>
            </w:r>
            <w:r w:rsidR="00DD3A9A">
              <w:rPr>
                <w:rFonts w:ascii="Arial" w:hAnsi="Arial" w:cs="Arial"/>
                <w:sz w:val="20"/>
                <w:szCs w:val="20"/>
                <w:lang w:val="de-LI"/>
              </w:rPr>
              <w:t>alte Giesskanne</w:t>
            </w:r>
            <w:r w:rsidRPr="0085516D">
              <w:rPr>
                <w:rFonts w:ascii="Arial" w:hAnsi="Arial" w:cs="Arial"/>
                <w:sz w:val="20"/>
                <w:szCs w:val="20"/>
                <w:lang w:val="de-LI"/>
              </w:rPr>
              <w:t xml:space="preserve"> o.ä. raspeln)</w:t>
            </w:r>
          </w:p>
          <w:p w14:paraId="30FF42AB" w14:textId="77777777" w:rsidR="00D66F47" w:rsidRDefault="00D66F47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4BAD68A5" w14:textId="6F00E86C" w:rsidR="00D66F47" w:rsidRDefault="002A5685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2A5685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 xml:space="preserve"> </w:t>
            </w:r>
          </w:p>
        </w:tc>
      </w:tr>
      <w:tr w:rsidR="00D66F47" w:rsidRPr="0085516D" w14:paraId="098D00C7" w14:textId="77777777" w:rsidTr="00D9412B">
        <w:tc>
          <w:tcPr>
            <w:tcW w:w="2972" w:type="dxa"/>
          </w:tcPr>
          <w:p w14:paraId="2BB27E59" w14:textId="77777777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  <w:r w:rsidRPr="0085516D">
              <w:rPr>
                <w:rFonts w:ascii="Arial" w:hAnsi="Arial" w:cs="Arial"/>
                <w:b/>
                <w:sz w:val="22"/>
                <w:szCs w:val="22"/>
                <w:lang w:val="de-LI"/>
              </w:rPr>
              <w:t>10: Herzinfarkt oder Gift?</w:t>
            </w:r>
          </w:p>
          <w:p w14:paraId="69103554" w14:textId="0B7BC2F6" w:rsidR="00D66F47" w:rsidRPr="0085516D" w:rsidRDefault="00D66F47" w:rsidP="00D66F47">
            <w:pPr>
              <w:rPr>
                <w:rFonts w:ascii="Arial" w:hAnsi="Arial" w:cs="Arial"/>
                <w:b/>
                <w:sz w:val="22"/>
                <w:szCs w:val="22"/>
                <w:lang w:val="de-LI"/>
              </w:rPr>
            </w:pPr>
          </w:p>
        </w:tc>
        <w:tc>
          <w:tcPr>
            <w:tcW w:w="3686" w:type="dxa"/>
          </w:tcPr>
          <w:p w14:paraId="79A5F0B3" w14:textId="77777777" w:rsidR="00D66F47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Magnesiastäbchen für Flammenfarben</w:t>
            </w:r>
          </w:p>
          <w:p w14:paraId="6E0FF118" w14:textId="77777777" w:rsidR="00D66F47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Probe mit KCl-Lösung</w:t>
            </w:r>
          </w:p>
          <w:p w14:paraId="74A11F79" w14:textId="77777777" w:rsidR="00D66F47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Referenz-Lösung von KCl</w:t>
            </w:r>
          </w:p>
          <w:p w14:paraId="64416B9A" w14:textId="06FBBA2D" w:rsidR="00D66F47" w:rsidRPr="007B671B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 xml:space="preserve">Referenz-Lösung von </w:t>
            </w:r>
            <w:r w:rsidR="007B671B">
              <w:rPr>
                <w:rFonts w:ascii="Arial" w:hAnsi="Arial" w:cs="Arial"/>
                <w:sz w:val="20"/>
                <w:szCs w:val="20"/>
                <w:lang w:val="de-LI"/>
              </w:rPr>
              <w:t>Ca</w:t>
            </w:r>
            <w:r>
              <w:rPr>
                <w:rFonts w:ascii="Arial" w:hAnsi="Arial" w:cs="Arial"/>
                <w:sz w:val="20"/>
                <w:szCs w:val="20"/>
                <w:lang w:val="de-LI"/>
              </w:rPr>
              <w:t>Cl</w:t>
            </w:r>
            <w:r w:rsidR="007B671B"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</w:p>
          <w:p w14:paraId="3CC9DC85" w14:textId="77777777" w:rsidR="00D66F47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Referenz-Lösung von CuCl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de-LI"/>
              </w:rPr>
              <w:t>2</w:t>
            </w:r>
          </w:p>
          <w:p w14:paraId="2DDAD732" w14:textId="77777777" w:rsidR="00D66F47" w:rsidRPr="0085516D" w:rsidRDefault="00D66F47" w:rsidP="00D66F47">
            <w:pPr>
              <w:ind w:left="179" w:hanging="179"/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2977" w:type="dxa"/>
          </w:tcPr>
          <w:p w14:paraId="645421EA" w14:textId="77777777" w:rsidR="00D66F47" w:rsidRDefault="00BD6186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Vorrat an Magnesiastäbchen</w:t>
            </w:r>
          </w:p>
          <w:p w14:paraId="3F7E606C" w14:textId="6103A815" w:rsidR="00BD6186" w:rsidRDefault="00BD6186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</w:p>
        </w:tc>
        <w:tc>
          <w:tcPr>
            <w:tcW w:w="4961" w:type="dxa"/>
          </w:tcPr>
          <w:p w14:paraId="55354112" w14:textId="5C4C093A" w:rsidR="00BD6186" w:rsidRDefault="00BD6186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>
              <w:rPr>
                <w:rFonts w:ascii="Arial" w:hAnsi="Arial" w:cs="Arial"/>
                <w:sz w:val="20"/>
                <w:szCs w:val="20"/>
                <w:lang w:val="de-LI"/>
              </w:rPr>
              <w:t>Kontrolle Probe- und Referenz-Lösungen</w:t>
            </w:r>
          </w:p>
          <w:p w14:paraId="77C0441A" w14:textId="77777777" w:rsidR="00BD6186" w:rsidRDefault="00BD6186" w:rsidP="00D66F47">
            <w:pPr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</w:pPr>
          </w:p>
          <w:p w14:paraId="6E45DF1B" w14:textId="5F68EB7F" w:rsidR="00D66F47" w:rsidRDefault="00DD3A9A" w:rsidP="00D66F47">
            <w:pPr>
              <w:rPr>
                <w:rFonts w:ascii="Arial" w:hAnsi="Arial" w:cs="Arial"/>
                <w:sz w:val="20"/>
                <w:szCs w:val="20"/>
                <w:lang w:val="de-LI"/>
              </w:rPr>
            </w:pPr>
            <w:r w:rsidRPr="002A5685">
              <w:rPr>
                <w:rFonts w:ascii="Arial" w:hAnsi="Arial" w:cs="Arial"/>
                <w:b/>
                <w:i/>
                <w:sz w:val="20"/>
                <w:szCs w:val="20"/>
                <w:lang w:val="de-LI"/>
              </w:rPr>
              <w:t xml:space="preserve">Bemerkung: 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Mit dem Gasbrenner (Erdgas oder Kartusche) sieht man die Flammenfarben nicht so gut wie mit einem kleinen Hand</w:t>
            </w:r>
            <w:r w:rsidR="00E825C6">
              <w:rPr>
                <w:rFonts w:ascii="Arial" w:hAnsi="Arial" w:cs="Arial"/>
                <w:i/>
                <w:sz w:val="20"/>
                <w:szCs w:val="20"/>
                <w:lang w:val="de-LI"/>
              </w:rPr>
              <w:t>-G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asbrenner</w:t>
            </w:r>
            <w:r w:rsidR="00E825C6">
              <w:rPr>
                <w:rFonts w:ascii="Arial" w:hAnsi="Arial" w:cs="Arial"/>
                <w:i/>
                <w:sz w:val="20"/>
                <w:szCs w:val="20"/>
                <w:lang w:val="de-LI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 xml:space="preserve"> der mit der Gas-Kartusche (z.B.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Kisag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de-LI"/>
              </w:rPr>
              <w:t>) nachgefüllt wird</w:t>
            </w:r>
            <w:r w:rsidR="00E825C6">
              <w:rPr>
                <w:rFonts w:ascii="Arial" w:hAnsi="Arial" w:cs="Arial"/>
                <w:i/>
                <w:sz w:val="20"/>
                <w:szCs w:val="20"/>
                <w:lang w:val="de-LI"/>
              </w:rPr>
              <w:t>.</w:t>
            </w:r>
          </w:p>
        </w:tc>
      </w:tr>
    </w:tbl>
    <w:p w14:paraId="3A1E6DF8" w14:textId="2CEC1C95" w:rsidR="00E8084A" w:rsidRDefault="00E8084A">
      <w:pPr>
        <w:rPr>
          <w:rFonts w:ascii="Arial" w:hAnsi="Arial" w:cs="Arial"/>
          <w:lang w:val="de-LI"/>
        </w:rPr>
      </w:pPr>
    </w:p>
    <w:p w14:paraId="6A495BAC" w14:textId="77777777" w:rsidR="00BD6186" w:rsidRPr="00BD6186" w:rsidRDefault="00BD6186" w:rsidP="00BD6186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  <w:lang w:val="de-LI"/>
        </w:rPr>
      </w:pPr>
      <w:r w:rsidRPr="00BD6186">
        <w:rPr>
          <w:rFonts w:ascii="Arial" w:hAnsi="Arial" w:cs="Arial"/>
          <w:b/>
          <w:sz w:val="22"/>
          <w:szCs w:val="22"/>
          <w:lang w:val="de-LI"/>
        </w:rPr>
        <w:t>Theoretische Versuche (11-14):</w:t>
      </w:r>
      <w:r w:rsidRPr="00BD6186">
        <w:rPr>
          <w:rFonts w:ascii="Arial" w:hAnsi="Arial" w:cs="Arial"/>
          <w:sz w:val="22"/>
          <w:szCs w:val="22"/>
          <w:lang w:val="de-LI"/>
        </w:rPr>
        <w:t xml:space="preserve"> kein Material (Durchführung nicht im Labor)</w:t>
      </w:r>
    </w:p>
    <w:p w14:paraId="31FA4C2E" w14:textId="77777777" w:rsidR="00BD6186" w:rsidRPr="00BD6186" w:rsidRDefault="00BD6186">
      <w:pPr>
        <w:rPr>
          <w:rFonts w:ascii="Arial" w:hAnsi="Arial" w:cs="Arial"/>
          <w:sz w:val="22"/>
          <w:szCs w:val="22"/>
          <w:lang w:val="de-LI"/>
        </w:rPr>
      </w:pPr>
    </w:p>
    <w:p w14:paraId="0DA8921C" w14:textId="56F9A901" w:rsidR="00BD6186" w:rsidRDefault="00BD6186">
      <w:pPr>
        <w:rPr>
          <w:rFonts w:ascii="Arial" w:hAnsi="Arial" w:cs="Arial"/>
          <w:sz w:val="22"/>
          <w:szCs w:val="22"/>
          <w:lang w:val="de-LI"/>
        </w:rPr>
      </w:pPr>
      <w:r w:rsidRPr="00BD6186">
        <w:rPr>
          <w:rFonts w:ascii="Arial" w:hAnsi="Arial" w:cs="Arial"/>
          <w:b/>
          <w:i/>
          <w:sz w:val="22"/>
          <w:szCs w:val="22"/>
          <w:lang w:val="de-LI"/>
        </w:rPr>
        <w:t>Allgemeine Hinweise</w:t>
      </w:r>
      <w:r w:rsidRPr="00BD6186">
        <w:rPr>
          <w:rFonts w:ascii="Arial" w:hAnsi="Arial" w:cs="Arial"/>
          <w:i/>
          <w:sz w:val="22"/>
          <w:szCs w:val="22"/>
          <w:lang w:val="de-LI"/>
        </w:rPr>
        <w:t>:</w:t>
      </w:r>
      <w:r w:rsidRPr="00BD6186">
        <w:rPr>
          <w:rFonts w:ascii="Arial" w:hAnsi="Arial" w:cs="Arial"/>
          <w:sz w:val="22"/>
          <w:szCs w:val="22"/>
          <w:lang w:val="de-LI"/>
        </w:rPr>
        <w:t xml:space="preserve"> Wir haben jeden einzelnen Versuch in einem </w:t>
      </w:r>
      <w:proofErr w:type="spellStart"/>
      <w:r w:rsidRPr="00BD6186">
        <w:rPr>
          <w:rFonts w:ascii="Arial" w:hAnsi="Arial" w:cs="Arial"/>
          <w:sz w:val="22"/>
          <w:szCs w:val="22"/>
          <w:lang w:val="de-LI"/>
        </w:rPr>
        <w:t>utz</w:t>
      </w:r>
      <w:proofErr w:type="spellEnd"/>
      <w:r w:rsidRPr="00BD6186">
        <w:rPr>
          <w:rFonts w:ascii="Arial" w:hAnsi="Arial" w:cs="Arial"/>
          <w:sz w:val="22"/>
          <w:szCs w:val="22"/>
          <w:lang w:val="de-LI"/>
        </w:rPr>
        <w:t xml:space="preserve"> </w:t>
      </w:r>
      <w:proofErr w:type="spellStart"/>
      <w:r w:rsidRPr="00BD6186">
        <w:rPr>
          <w:rFonts w:ascii="Arial" w:hAnsi="Arial" w:cs="Arial"/>
          <w:sz w:val="22"/>
          <w:szCs w:val="22"/>
          <w:lang w:val="de-LI"/>
        </w:rPr>
        <w:t>Rako</w:t>
      </w:r>
      <w:proofErr w:type="spellEnd"/>
      <w:r w:rsidRPr="00BD6186">
        <w:rPr>
          <w:rFonts w:ascii="Arial" w:hAnsi="Arial" w:cs="Arial"/>
          <w:sz w:val="22"/>
          <w:szCs w:val="22"/>
          <w:lang w:val="de-LI"/>
        </w:rPr>
        <w:t xml:space="preserve"> Stapelbehälter untergebracht, von Versuch 1+2 jeweils zwei </w:t>
      </w:r>
      <w:r w:rsidR="00E44AC9">
        <w:rPr>
          <w:rFonts w:ascii="Arial" w:hAnsi="Arial" w:cs="Arial"/>
          <w:sz w:val="22"/>
          <w:szCs w:val="22"/>
          <w:lang w:val="de-LI"/>
        </w:rPr>
        <w:t xml:space="preserve">identische </w:t>
      </w:r>
      <w:r w:rsidRPr="00BD6186">
        <w:rPr>
          <w:rFonts w:ascii="Arial" w:hAnsi="Arial" w:cs="Arial"/>
          <w:sz w:val="22"/>
          <w:szCs w:val="22"/>
          <w:lang w:val="de-LI"/>
        </w:rPr>
        <w:t xml:space="preserve">Kistchen. Enthalten ist jeweils nur, was für die </w:t>
      </w:r>
      <w:proofErr w:type="spellStart"/>
      <w:r w:rsidRPr="00BD6186">
        <w:rPr>
          <w:rFonts w:ascii="Arial" w:hAnsi="Arial" w:cs="Arial"/>
          <w:sz w:val="22"/>
          <w:szCs w:val="22"/>
          <w:lang w:val="de-LI"/>
        </w:rPr>
        <w:t>SuS</w:t>
      </w:r>
      <w:proofErr w:type="spellEnd"/>
      <w:r w:rsidRPr="00BD6186">
        <w:rPr>
          <w:rFonts w:ascii="Arial" w:hAnsi="Arial" w:cs="Arial"/>
          <w:sz w:val="22"/>
          <w:szCs w:val="22"/>
          <w:lang w:val="de-LI"/>
        </w:rPr>
        <w:t xml:space="preserve"> gedacht ist und in relativ geringen Mengen. Alles Vorratsmaterial befindet sich dann in einem einzigen grossen solchen </w:t>
      </w:r>
      <w:proofErr w:type="spellStart"/>
      <w:r w:rsidRPr="00BD6186">
        <w:rPr>
          <w:rFonts w:ascii="Arial" w:hAnsi="Arial" w:cs="Arial"/>
          <w:sz w:val="22"/>
          <w:szCs w:val="22"/>
          <w:lang w:val="de-LI"/>
        </w:rPr>
        <w:t>Kistche</w:t>
      </w:r>
      <w:proofErr w:type="spellEnd"/>
      <w:r w:rsidRPr="00BD6186">
        <w:rPr>
          <w:rFonts w:ascii="Arial" w:hAnsi="Arial" w:cs="Arial"/>
          <w:sz w:val="22"/>
          <w:szCs w:val="22"/>
          <w:lang w:val="de-LI"/>
        </w:rPr>
        <w:t xml:space="preserve">, nach Versuch beschriftet. </w:t>
      </w:r>
    </w:p>
    <w:p w14:paraId="6534864B" w14:textId="185751E3" w:rsidR="00E44AC9" w:rsidRDefault="00E44AC9">
      <w:pPr>
        <w:rPr>
          <w:rFonts w:ascii="Arial" w:hAnsi="Arial" w:cs="Arial"/>
          <w:sz w:val="22"/>
          <w:szCs w:val="22"/>
          <w:lang w:val="de-L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899A6" wp14:editId="3B077434">
            <wp:simplePos x="0" y="0"/>
            <wp:positionH relativeFrom="margin">
              <wp:posOffset>4105275</wp:posOffset>
            </wp:positionH>
            <wp:positionV relativeFrom="paragraph">
              <wp:posOffset>137795</wp:posOffset>
            </wp:positionV>
            <wp:extent cx="1503680" cy="207645"/>
            <wp:effectExtent l="0" t="0" r="1270" b="1905"/>
            <wp:wrapSquare wrapText="bothSides"/>
            <wp:docPr id="1757531219" name="Grafik 1" descr="Ein Bild, das Schrift, Typografie, Grafiken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31219" name="Grafik 1" descr="Ein Bild, das Schrift, Typografie, Grafiken, Kalligrafie enthält.&#10;&#10;Automatisch generierte Beschreibu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02F3D" w14:textId="7499FA39" w:rsidR="00E44AC9" w:rsidRPr="00E44AC9" w:rsidRDefault="00E44AC9">
      <w:pPr>
        <w:rPr>
          <w:rFonts w:ascii="Arial" w:hAnsi="Arial" w:cs="Arial"/>
          <w:sz w:val="22"/>
          <w:szCs w:val="22"/>
          <w:lang w:val="de-LI"/>
        </w:rPr>
      </w:pPr>
      <w:r w:rsidRPr="00E44AC9">
        <w:rPr>
          <w:rFonts w:ascii="Arial" w:hAnsi="Arial" w:cs="Arial"/>
          <w:b/>
          <w:sz w:val="22"/>
          <w:szCs w:val="22"/>
          <w:lang w:val="de-LI"/>
        </w:rPr>
        <w:t>Rückmeldungen</w:t>
      </w:r>
      <w:r>
        <w:rPr>
          <w:rFonts w:ascii="Arial" w:hAnsi="Arial" w:cs="Arial"/>
          <w:b/>
          <w:sz w:val="22"/>
          <w:szCs w:val="22"/>
          <w:lang w:val="de-LI"/>
        </w:rPr>
        <w:t xml:space="preserve"> </w:t>
      </w:r>
      <w:r>
        <w:rPr>
          <w:rFonts w:ascii="Arial" w:hAnsi="Arial" w:cs="Arial"/>
          <w:sz w:val="22"/>
          <w:szCs w:val="22"/>
          <w:lang w:val="de-LI"/>
        </w:rPr>
        <w:t>nehme ich sehr gerne und dankend entgegen:</w:t>
      </w:r>
    </w:p>
    <w:sectPr w:rsidR="00E44AC9" w:rsidRPr="00E44AC9" w:rsidSect="009E0F92">
      <w:pgSz w:w="16838" w:h="11906" w:orient="landscape"/>
      <w:pgMar w:top="993" w:right="1418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1C8"/>
    <w:multiLevelType w:val="hybridMultilevel"/>
    <w:tmpl w:val="D57698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BDB"/>
    <w:multiLevelType w:val="multilevel"/>
    <w:tmpl w:val="3A84698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42FE3D88"/>
    <w:multiLevelType w:val="multilevel"/>
    <w:tmpl w:val="B0FA0C1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559F0317"/>
    <w:multiLevelType w:val="multilevel"/>
    <w:tmpl w:val="5D7231E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EB"/>
    <w:rsid w:val="0003328C"/>
    <w:rsid w:val="00057A31"/>
    <w:rsid w:val="000731DC"/>
    <w:rsid w:val="000D5890"/>
    <w:rsid w:val="0011362C"/>
    <w:rsid w:val="0011782D"/>
    <w:rsid w:val="001216CE"/>
    <w:rsid w:val="00130FE7"/>
    <w:rsid w:val="001A103B"/>
    <w:rsid w:val="001C0DE2"/>
    <w:rsid w:val="001F0DA8"/>
    <w:rsid w:val="00200804"/>
    <w:rsid w:val="00242C4F"/>
    <w:rsid w:val="00276D79"/>
    <w:rsid w:val="002861C6"/>
    <w:rsid w:val="002A5685"/>
    <w:rsid w:val="002A788A"/>
    <w:rsid w:val="002C4CFA"/>
    <w:rsid w:val="002E05ED"/>
    <w:rsid w:val="0030151B"/>
    <w:rsid w:val="00354672"/>
    <w:rsid w:val="003961CD"/>
    <w:rsid w:val="003B3996"/>
    <w:rsid w:val="003E0957"/>
    <w:rsid w:val="003F309B"/>
    <w:rsid w:val="00451528"/>
    <w:rsid w:val="00453D60"/>
    <w:rsid w:val="00463AD6"/>
    <w:rsid w:val="00465EAF"/>
    <w:rsid w:val="004F7422"/>
    <w:rsid w:val="00517C3F"/>
    <w:rsid w:val="005660E3"/>
    <w:rsid w:val="005A515A"/>
    <w:rsid w:val="005E34B6"/>
    <w:rsid w:val="005E3D85"/>
    <w:rsid w:val="005E7243"/>
    <w:rsid w:val="005F3809"/>
    <w:rsid w:val="00641A51"/>
    <w:rsid w:val="00660562"/>
    <w:rsid w:val="006D2831"/>
    <w:rsid w:val="006D378E"/>
    <w:rsid w:val="00703472"/>
    <w:rsid w:val="00707A20"/>
    <w:rsid w:val="00723622"/>
    <w:rsid w:val="00736083"/>
    <w:rsid w:val="007675AC"/>
    <w:rsid w:val="00785351"/>
    <w:rsid w:val="0079660B"/>
    <w:rsid w:val="007B671B"/>
    <w:rsid w:val="007D348F"/>
    <w:rsid w:val="007E02E0"/>
    <w:rsid w:val="007E5249"/>
    <w:rsid w:val="00801B2C"/>
    <w:rsid w:val="008101EB"/>
    <w:rsid w:val="00813377"/>
    <w:rsid w:val="008544F2"/>
    <w:rsid w:val="008545D9"/>
    <w:rsid w:val="0085516D"/>
    <w:rsid w:val="00861F4B"/>
    <w:rsid w:val="008A1058"/>
    <w:rsid w:val="008A3311"/>
    <w:rsid w:val="00930A47"/>
    <w:rsid w:val="00960010"/>
    <w:rsid w:val="00976508"/>
    <w:rsid w:val="0098388C"/>
    <w:rsid w:val="009A330A"/>
    <w:rsid w:val="009B3178"/>
    <w:rsid w:val="009C1473"/>
    <w:rsid w:val="009C6A27"/>
    <w:rsid w:val="009D2122"/>
    <w:rsid w:val="009E008F"/>
    <w:rsid w:val="009E0F92"/>
    <w:rsid w:val="009E2752"/>
    <w:rsid w:val="00A60180"/>
    <w:rsid w:val="00A75D2F"/>
    <w:rsid w:val="00A809CA"/>
    <w:rsid w:val="00AD530D"/>
    <w:rsid w:val="00B14AE0"/>
    <w:rsid w:val="00B63AC3"/>
    <w:rsid w:val="00B7757A"/>
    <w:rsid w:val="00B946D6"/>
    <w:rsid w:val="00B957BF"/>
    <w:rsid w:val="00BB7D9E"/>
    <w:rsid w:val="00BC092C"/>
    <w:rsid w:val="00BD6186"/>
    <w:rsid w:val="00C07204"/>
    <w:rsid w:val="00C26F77"/>
    <w:rsid w:val="00C737E2"/>
    <w:rsid w:val="00C75F39"/>
    <w:rsid w:val="00C97BC7"/>
    <w:rsid w:val="00CB29DA"/>
    <w:rsid w:val="00CF3D73"/>
    <w:rsid w:val="00CF7592"/>
    <w:rsid w:val="00D145F0"/>
    <w:rsid w:val="00D66F47"/>
    <w:rsid w:val="00D80F0B"/>
    <w:rsid w:val="00D9412B"/>
    <w:rsid w:val="00DC2141"/>
    <w:rsid w:val="00DD0750"/>
    <w:rsid w:val="00DD3A9A"/>
    <w:rsid w:val="00DD460E"/>
    <w:rsid w:val="00DF4B39"/>
    <w:rsid w:val="00E44AC9"/>
    <w:rsid w:val="00E45222"/>
    <w:rsid w:val="00E46704"/>
    <w:rsid w:val="00E8084A"/>
    <w:rsid w:val="00E825C6"/>
    <w:rsid w:val="00EA3CE2"/>
    <w:rsid w:val="00F358B5"/>
    <w:rsid w:val="00F62DEA"/>
    <w:rsid w:val="00F9743C"/>
    <w:rsid w:val="00F97701"/>
    <w:rsid w:val="00FB798D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FC73AA"/>
  <w15:docId w15:val="{C307927C-8832-4145-BCC5-89B9473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01B2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782D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4F74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ytomics.com" TargetMode="External"/><Relationship Id="rId5" Type="http://schemas.openxmlformats.org/officeDocument/2006/relationships/hyperlink" Target="http://www.atg-kriminaltechnik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 Kriminalistik</vt:lpstr>
    </vt:vector>
  </TitlesOfParts>
  <Company>MNG Rämibühl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Kriminalistik</dc:title>
  <dc:creator>Marti;Toggenburger</dc:creator>
  <cp:lastModifiedBy>Lorenz Marti  (MNG)</cp:lastModifiedBy>
  <cp:revision>11</cp:revision>
  <cp:lastPrinted>2011-02-08T12:21:00Z</cp:lastPrinted>
  <dcterms:created xsi:type="dcterms:W3CDTF">2023-11-30T15:02:00Z</dcterms:created>
  <dcterms:modified xsi:type="dcterms:W3CDTF">2023-12-04T14:36:00Z</dcterms:modified>
</cp:coreProperties>
</file>