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953F" w14:textId="77777777" w:rsidR="0027182A" w:rsidRPr="00A17E83" w:rsidRDefault="0027182A" w:rsidP="00B25295">
      <w:pPr>
        <w:pStyle w:val="Titel"/>
        <w:rPr>
          <w:rFonts w:ascii="Verdana" w:hAnsi="Verdana"/>
          <w:sz w:val="40"/>
        </w:rPr>
      </w:pPr>
      <w:r w:rsidRPr="00A17E83">
        <w:rPr>
          <w:rFonts w:ascii="Verdana" w:hAnsi="Verdana"/>
          <w:sz w:val="40"/>
        </w:rPr>
        <w:t>Herstellung von Sulfanilamid</w:t>
      </w:r>
    </w:p>
    <w:p w14:paraId="2BE450E7" w14:textId="77777777" w:rsidR="0027182A" w:rsidRPr="00A17E83" w:rsidRDefault="0027182A" w:rsidP="00B25295">
      <w:pPr>
        <w:rPr>
          <w:rFonts w:ascii="Verdana" w:hAnsi="Verdana"/>
          <w:b/>
          <w:sz w:val="32"/>
        </w:rPr>
      </w:pPr>
    </w:p>
    <w:p w14:paraId="71007E8A" w14:textId="77777777" w:rsidR="0027182A" w:rsidRPr="00A17E83" w:rsidRDefault="0027182A" w:rsidP="00B25295">
      <w:pPr>
        <w:rPr>
          <w:rFonts w:ascii="Verdana" w:hAnsi="Verdana"/>
          <w:b/>
          <w:sz w:val="32"/>
        </w:rPr>
      </w:pPr>
    </w:p>
    <w:p w14:paraId="3B035F0E" w14:textId="77777777" w:rsidR="0027182A" w:rsidRPr="00A17E83" w:rsidRDefault="0027182A" w:rsidP="00B25295">
      <w:pPr>
        <w:pStyle w:val="Kopfzeile"/>
        <w:tabs>
          <w:tab w:val="clear" w:pos="4703"/>
          <w:tab w:val="clear" w:pos="9406"/>
        </w:tabs>
        <w:rPr>
          <w:rFonts w:ascii="Verdana" w:hAnsi="Verdana"/>
        </w:rPr>
      </w:pPr>
    </w:p>
    <w:p w14:paraId="0B627DB9" w14:textId="77777777" w:rsidR="00B25295" w:rsidRPr="00B25295" w:rsidRDefault="00B25295" w:rsidP="005F4974">
      <w:pPr>
        <w:pStyle w:val="Untertitel2"/>
        <w:ind w:left="426" w:hanging="426"/>
        <w:jc w:val="center"/>
        <w:rPr>
          <w:rFonts w:ascii="Verdana" w:hAnsi="Verdana"/>
          <w:color w:val="000000"/>
          <w:sz w:val="32"/>
        </w:rPr>
      </w:pPr>
      <w:r>
        <w:rPr>
          <w:rFonts w:ascii="Verdana" w:hAnsi="Verdana"/>
          <w:color w:val="000000"/>
          <w:sz w:val="32"/>
        </w:rPr>
        <w:t>Erster</w:t>
      </w:r>
      <w:r w:rsidRPr="00B25295">
        <w:rPr>
          <w:rFonts w:ascii="Verdana" w:hAnsi="Verdana"/>
          <w:color w:val="000000"/>
          <w:sz w:val="32"/>
        </w:rPr>
        <w:t xml:space="preserve"> Schritt (Synthese des Sulfonylchlorids):</w:t>
      </w:r>
    </w:p>
    <w:p w14:paraId="5C7DC951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Tiefkühler:</w:t>
      </w:r>
    </w:p>
    <w:p w14:paraId="60A12195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 aus Leitungswasser (3 Beutel pro Gruppe plus Reserve)</w:t>
      </w:r>
    </w:p>
    <w:p w14:paraId="2092465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 aus Ionentauscherwasser (1 Beutel pro Gruppe)</w:t>
      </w:r>
    </w:p>
    <w:p w14:paraId="26A06E90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73BE5BAF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Chemikalien:</w:t>
      </w:r>
    </w:p>
    <w:p w14:paraId="68D02C7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Acetanilid (12 g pro Gruppe)</w:t>
      </w:r>
    </w:p>
    <w:p w14:paraId="15463CEE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Chlorosulfonsäure (33 ml pro Gruppe), Messzylinder 50 ml</w:t>
      </w:r>
    </w:p>
    <w:p w14:paraId="429C215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Dichlormethan (130 ml pro Gruppe), Messzylinder 250 ml</w:t>
      </w:r>
    </w:p>
    <w:p w14:paraId="7AB71CB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Abfall-Behälter für chlorierte Lösungsmittel</w:t>
      </w:r>
    </w:p>
    <w:p w14:paraId="5DD618E2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7985861E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Schülerarbeitsplätze in den Kapellen, je:</w:t>
      </w:r>
    </w:p>
    <w:p w14:paraId="12771BF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Heizbarer Magnetrührer mit Kontaktthermometer; Ölbad mit Magnetfisch</w:t>
      </w:r>
    </w:p>
    <w:p w14:paraId="7E77CDE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Magnetfisch</w:t>
      </w:r>
    </w:p>
    <w:p w14:paraId="55222F1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Dreihalskolben 250 ml</w:t>
      </w:r>
    </w:p>
    <w:p w14:paraId="1B74829C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Tropftrichter 50 ml</w:t>
      </w:r>
    </w:p>
    <w:p w14:paraId="5FC34F9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Thermometer &amp; Schliffverschraubung</w:t>
      </w:r>
    </w:p>
    <w:p w14:paraId="62D0770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Rundkolben 250 ml</w:t>
      </w:r>
    </w:p>
    <w:p w14:paraId="7272D2A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Rückfluss-Kugelkühler mit passenden Schläuchen</w:t>
      </w:r>
    </w:p>
    <w:p w14:paraId="3A07663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Scheidetrichter 250 ml</w:t>
      </w:r>
    </w:p>
    <w:p w14:paraId="48E861CF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15FD0D48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Weiteres Material:</w:t>
      </w:r>
    </w:p>
    <w:p w14:paraId="27F336C9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Kunststoffhämmer (um Eis zu zerklopfen)</w:t>
      </w:r>
    </w:p>
    <w:p w14:paraId="3889764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Eisbehälter aus Styropor</w:t>
      </w:r>
    </w:p>
    <w:p w14:paraId="0C8ADFD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Plasticbecken (für Eisbad)</w:t>
      </w:r>
    </w:p>
    <w:p w14:paraId="46BA7D2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Stativmaterial (Klammern, Muffen, Ringe)</w:t>
      </w:r>
    </w:p>
    <w:p w14:paraId="7B60C5B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Bechergläser 100 ml &amp; 1000 ml</w:t>
      </w:r>
    </w:p>
    <w:p w14:paraId="4A8D06C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Erlenmeyerkolben 250 ml</w:t>
      </w:r>
    </w:p>
    <w:p w14:paraId="1F4A7E6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Saugflaschen, Gummimanschetten, Nutschen, Rundfilterpapiere</w:t>
      </w:r>
    </w:p>
    <w:p w14:paraId="07DF008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Trichter klein, Pulvertrichter klein</w:t>
      </w:r>
    </w:p>
    <w:p w14:paraId="11249BE8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Filtertrichter, Faltenfilter</w:t>
      </w:r>
    </w:p>
    <w:p w14:paraId="447DCABA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Föne</w:t>
      </w:r>
    </w:p>
    <w:p w14:paraId="28D72B4C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Korkringe</w:t>
      </w:r>
    </w:p>
    <w:p w14:paraId="61A4C166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Schliffett</w:t>
      </w:r>
    </w:p>
    <w:p w14:paraId="089C482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Handschuhe säureresistent</w:t>
      </w:r>
    </w:p>
    <w:p w14:paraId="6E8837A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lastRenderedPageBreak/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Einweghandschuhe</w:t>
      </w:r>
    </w:p>
    <w:p w14:paraId="7ACB48A5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Pasteurpipetten</w:t>
      </w:r>
    </w:p>
    <w:p w14:paraId="63AED97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Glasstäbe</w:t>
      </w:r>
    </w:p>
    <w:p w14:paraId="45D9063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Pinzetten</w:t>
      </w:r>
    </w:p>
    <w:p w14:paraId="31CF517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Holzspatel</w:t>
      </w:r>
    </w:p>
    <w:p w14:paraId="7975A0B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Löffel</w:t>
      </w:r>
    </w:p>
    <w:p w14:paraId="30A28B4E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Pillengläser</w:t>
      </w:r>
    </w:p>
    <w:p w14:paraId="66C7037A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Exsikkator mit trockenem Silicagel</w:t>
      </w:r>
    </w:p>
    <w:p w14:paraId="7BDD5ED8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</w:rPr>
      </w:pPr>
    </w:p>
    <w:p w14:paraId="768C8A83" w14:textId="77777777" w:rsidR="00B25295" w:rsidRPr="00B25295" w:rsidRDefault="00B25295" w:rsidP="005F4974">
      <w:pPr>
        <w:pStyle w:val="Untertitel2"/>
        <w:ind w:left="426" w:hanging="426"/>
        <w:jc w:val="center"/>
        <w:rPr>
          <w:rFonts w:ascii="Verdana" w:hAnsi="Verdana"/>
          <w:color w:val="000000"/>
          <w:sz w:val="32"/>
        </w:rPr>
      </w:pPr>
      <w:r>
        <w:rPr>
          <w:rFonts w:ascii="Verdana" w:hAnsi="Verdana"/>
          <w:color w:val="000000"/>
          <w:sz w:val="32"/>
        </w:rPr>
        <w:t>Zweiter</w:t>
      </w:r>
      <w:r w:rsidRPr="00B25295">
        <w:rPr>
          <w:rFonts w:ascii="Verdana" w:hAnsi="Verdana"/>
          <w:color w:val="000000"/>
          <w:sz w:val="32"/>
        </w:rPr>
        <w:t xml:space="preserve"> Schritt (Synthese von drei Sulfonamiden):</w:t>
      </w:r>
    </w:p>
    <w:p w14:paraId="08AAC226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Tiefkühler:</w:t>
      </w:r>
    </w:p>
    <w:p w14:paraId="19E6D757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 aus Leitungswasser (3 Beutel pro Gruppe plus Reserve)</w:t>
      </w:r>
    </w:p>
    <w:p w14:paraId="47DFEC89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74822BFE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Chemikalien:</w:t>
      </w:r>
    </w:p>
    <w:p w14:paraId="40DEA28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Pyridin wasserfrei über Molekularsieb, Stabpipette 10 ml (für Sulfapyridin- und Sulfathiazolsynthese)</w:t>
      </w:r>
    </w:p>
    <w:p w14:paraId="380D638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2-Aminopyridin (für Sulfapyridinsynthese), 2-Aminothiazol (für Sulfathiazolsynthese)</w:t>
      </w:r>
    </w:p>
    <w:p w14:paraId="74AF965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Calciumchlorid wasserfrei (für Trockenrohre)</w:t>
      </w:r>
    </w:p>
    <w:p w14:paraId="0F2699B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Natriumhydrogencarbonat (für Sulfanilamidsynthese)</w:t>
      </w:r>
    </w:p>
    <w:p w14:paraId="56E2BCF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Ammoniaklösung 25% (für Sulfanilamidsynthese)</w:t>
      </w:r>
    </w:p>
    <w:p w14:paraId="537758BE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Schwefelsäure 6 M (für Sulfanilamidsynthese)</w:t>
      </w:r>
    </w:p>
    <w:p w14:paraId="24946025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Salzsäure halbkonzentriert (für Sulfanilamidsynthese)</w:t>
      </w:r>
    </w:p>
    <w:p w14:paraId="6B392D3A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Natronlauge 10% = 2.5 M (für Sulfapyridin- und Sulfathiazolsynthese)</w:t>
      </w:r>
    </w:p>
    <w:p w14:paraId="0B88F658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Natriumacetat (für Sulfathiazolsynthese)</w:t>
      </w:r>
    </w:p>
    <w:p w14:paraId="205F539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Salzsäure konzentriert (für Sulfathiazolsynthese)</w:t>
      </w:r>
    </w:p>
    <w:p w14:paraId="041624CB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608E32EC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Schülerarbeitsplätze in den Kapellen, je:</w:t>
      </w:r>
    </w:p>
    <w:p w14:paraId="4A4463E5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Heizbarer Magnetrührer mit Kontaktthermometer; Ölbad mit Magnetfisch</w:t>
      </w:r>
    </w:p>
    <w:p w14:paraId="3CB9321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zusätzlicher Magnetrührer</w:t>
      </w:r>
    </w:p>
    <w:p w14:paraId="27C282E7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2 Magnetfische</w:t>
      </w:r>
    </w:p>
    <w:p w14:paraId="6C24B1C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1 Rückfluss-Kugelkühler mit passenden Schläuchen</w:t>
      </w:r>
    </w:p>
    <w:p w14:paraId="56C43126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3F9E5858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Weiteres Material:</w:t>
      </w:r>
    </w:p>
    <w:p w14:paraId="38B0042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Kunststoffhämmer (um Eis zu zerklopfen)</w:t>
      </w:r>
    </w:p>
    <w:p w14:paraId="539B4FDC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Eisbehälter aus Styropor</w:t>
      </w:r>
    </w:p>
    <w:p w14:paraId="08539E0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Plasticbecken (für Eisbad)</w:t>
      </w:r>
    </w:p>
    <w:p w14:paraId="0AE1B2EF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Stativmaterial (Klammern, Muffen)</w:t>
      </w:r>
    </w:p>
    <w:p w14:paraId="0F9A262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Rundkolben 250 ml &amp; 100 ml</w:t>
      </w:r>
    </w:p>
    <w:p w14:paraId="27B5BFBE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Zweihalskolben 100 ml &amp; Thermometer mit Schliffverschraubung (für Sulfathiazolsynthese)</w:t>
      </w:r>
    </w:p>
    <w:p w14:paraId="0289AA41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lastRenderedPageBreak/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Trockenrohre, passend auf Rückflusskühler</w:t>
      </w:r>
    </w:p>
    <w:p w14:paraId="7655250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Messzylinder 100 ml &amp; 25 ml</w:t>
      </w:r>
    </w:p>
    <w:p w14:paraId="3B796358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Bechergläser 100 ml &amp; 250 ml</w:t>
      </w:r>
    </w:p>
    <w:p w14:paraId="3AE4F89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Erlenmeyerkolben 250 ml &amp; ca. 150 ml weithals</w:t>
      </w:r>
    </w:p>
    <w:p w14:paraId="7D20A518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Saugflaschen, Gummimanschetten, Nutschen, Rundfilterpapiere</w:t>
      </w:r>
    </w:p>
    <w:p w14:paraId="686A826D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Trichter klein, Pulvertrichter klein</w:t>
      </w:r>
    </w:p>
    <w:p w14:paraId="591A816A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Korkringe</w:t>
      </w:r>
    </w:p>
    <w:p w14:paraId="68E395F9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Schliffett</w:t>
      </w:r>
    </w:p>
    <w:p w14:paraId="7DFD62D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Pasteurpipetten</w:t>
      </w:r>
    </w:p>
    <w:p w14:paraId="7CC50BA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Glasstäbe</w:t>
      </w:r>
    </w:p>
    <w:p w14:paraId="2E5DA937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Pinzetten</w:t>
      </w:r>
    </w:p>
    <w:p w14:paraId="5A3173D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Löffel</w:t>
      </w:r>
    </w:p>
    <w:p w14:paraId="3635657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Pillengläser</w:t>
      </w:r>
    </w:p>
    <w:p w14:paraId="3982F4E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Exsikkator mit trockenem Silicagel</w:t>
      </w:r>
    </w:p>
    <w:p w14:paraId="6FF9235E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2"/>
          <w:szCs w:val="22"/>
        </w:rPr>
      </w:pPr>
    </w:p>
    <w:p w14:paraId="43CEBFDD" w14:textId="77777777" w:rsidR="00B25295" w:rsidRPr="00B25295" w:rsidRDefault="00B25295" w:rsidP="005F4974">
      <w:pPr>
        <w:pStyle w:val="Untertitel2"/>
        <w:ind w:left="426" w:hanging="426"/>
        <w:jc w:val="center"/>
        <w:rPr>
          <w:rFonts w:ascii="Verdana" w:hAnsi="Verdana"/>
          <w:color w:val="000000"/>
          <w:sz w:val="32"/>
        </w:rPr>
      </w:pPr>
      <w:r w:rsidRPr="00B25295">
        <w:rPr>
          <w:rFonts w:ascii="Verdana" w:hAnsi="Verdana"/>
          <w:color w:val="000000"/>
          <w:sz w:val="32"/>
        </w:rPr>
        <w:t>Produktreinigung und -charakterisierung:</w:t>
      </w:r>
    </w:p>
    <w:p w14:paraId="6DA35EB8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Tiefkühler:</w:t>
      </w:r>
    </w:p>
    <w:p w14:paraId="2F75A617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 aus Leitungswasser (3 Beutel pro Gruppe plus Reserve)</w:t>
      </w:r>
    </w:p>
    <w:p w14:paraId="4F7193E6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5343CCB3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Chemikalien:</w:t>
      </w:r>
    </w:p>
    <w:p w14:paraId="6B10C95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Ethanol</w:t>
      </w:r>
    </w:p>
    <w:p w14:paraId="7E07FD8A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1396A487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Schülerarbeitsplätze in den Kapellen, je:</w:t>
      </w:r>
    </w:p>
    <w:p w14:paraId="1532793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</w:rPr>
      </w:pPr>
      <w:r w:rsidRPr="00B25295">
        <w:rPr>
          <w:rFonts w:ascii="Verdana" w:hAnsi="Verdana"/>
          <w:color w:val="000000"/>
        </w:rPr>
        <w:t>•</w:t>
      </w:r>
      <w:r w:rsidRPr="00B25295">
        <w:rPr>
          <w:rFonts w:ascii="Verdana" w:hAnsi="Verdana"/>
          <w:color w:val="000000"/>
        </w:rPr>
        <w:tab/>
        <w:t>1 Heizbarer Magnetrührer mit Kontaktthermometer; Ölbad mit Magnetfisch</w:t>
      </w:r>
    </w:p>
    <w:p w14:paraId="4C618A06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</w:rPr>
      </w:pPr>
      <w:r w:rsidRPr="00B25295">
        <w:rPr>
          <w:rFonts w:ascii="Verdana" w:hAnsi="Verdana"/>
          <w:color w:val="000000"/>
        </w:rPr>
        <w:t>•</w:t>
      </w:r>
      <w:r w:rsidRPr="00B25295">
        <w:rPr>
          <w:rFonts w:ascii="Verdana" w:hAnsi="Verdana"/>
          <w:color w:val="000000"/>
        </w:rPr>
        <w:tab/>
        <w:t>2 Magnetfische</w:t>
      </w:r>
    </w:p>
    <w:p w14:paraId="54F8EDD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</w:rPr>
      </w:pPr>
      <w:r w:rsidRPr="00B25295">
        <w:rPr>
          <w:rFonts w:ascii="Verdana" w:hAnsi="Verdana"/>
          <w:color w:val="000000"/>
        </w:rPr>
        <w:t>•</w:t>
      </w:r>
      <w:r w:rsidRPr="00B25295">
        <w:rPr>
          <w:rFonts w:ascii="Verdana" w:hAnsi="Verdana"/>
          <w:color w:val="000000"/>
        </w:rPr>
        <w:tab/>
        <w:t>1 Rückfluss-Kugelkühler mit passenden Schläuchen</w:t>
      </w:r>
    </w:p>
    <w:p w14:paraId="6CC9D70D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0"/>
        </w:rPr>
      </w:pPr>
    </w:p>
    <w:p w14:paraId="164C0E87" w14:textId="77777777" w:rsidR="00B25295" w:rsidRPr="00B25295" w:rsidRDefault="00B25295" w:rsidP="00B25295">
      <w:pPr>
        <w:pStyle w:val="TitelII"/>
        <w:spacing w:before="40"/>
        <w:jc w:val="left"/>
        <w:rPr>
          <w:rFonts w:ascii="Verdana" w:hAnsi="Verdana"/>
          <w:color w:val="000000"/>
          <w:sz w:val="28"/>
        </w:rPr>
      </w:pPr>
      <w:r w:rsidRPr="00B25295">
        <w:rPr>
          <w:rFonts w:ascii="Verdana" w:hAnsi="Verdana"/>
          <w:color w:val="000000"/>
          <w:sz w:val="28"/>
        </w:rPr>
        <w:t>Weiteres Material:</w:t>
      </w:r>
    </w:p>
    <w:p w14:paraId="7ED60DCE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Kunststoffhämmer (um Eis zu zerklopfen)</w:t>
      </w:r>
    </w:p>
    <w:p w14:paraId="74DCA3F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Eisbehälter aus Styropor</w:t>
      </w:r>
    </w:p>
    <w:p w14:paraId="4F8A94E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Plasticbecken (für Eisbad)</w:t>
      </w:r>
    </w:p>
    <w:p w14:paraId="127ED329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Stativmaterial (Klammern, Muffen)</w:t>
      </w:r>
    </w:p>
    <w:p w14:paraId="267787B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Rundkolben 250 ml &amp; 100 ml</w:t>
      </w:r>
    </w:p>
    <w:p w14:paraId="529D42D4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Messzylinder 100 ml &amp; 25 ml</w:t>
      </w:r>
    </w:p>
    <w:p w14:paraId="76199B53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Saugflaschen, Gummimanschetten, Nutschen, Rundfilterpapiere</w:t>
      </w:r>
    </w:p>
    <w:p w14:paraId="4F68B6F6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Trichter klein, Pulvertrichter klein</w:t>
      </w:r>
    </w:p>
    <w:p w14:paraId="7F3FE649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Korkringe</w:t>
      </w:r>
    </w:p>
    <w:p w14:paraId="51728670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Schliffett</w:t>
      </w:r>
    </w:p>
    <w:p w14:paraId="319C63B6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Pasteurpipetten</w:t>
      </w:r>
    </w:p>
    <w:p w14:paraId="57A9FB9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Glasstäbe</w:t>
      </w:r>
    </w:p>
    <w:p w14:paraId="2F2655E2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lastRenderedPageBreak/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Pinzetten</w:t>
      </w:r>
    </w:p>
    <w:p w14:paraId="6CB97A25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Löffel</w:t>
      </w:r>
    </w:p>
    <w:p w14:paraId="228FBC61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Pillengläser</w:t>
      </w:r>
    </w:p>
    <w:p w14:paraId="7F3A8E1B" w14:textId="77777777" w:rsidR="00B25295" w:rsidRPr="00B25295" w:rsidRDefault="00B25295" w:rsidP="00B25295">
      <w:pPr>
        <w:spacing w:before="40"/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Exsikkator mit trockenem Silicagel</w:t>
      </w:r>
    </w:p>
    <w:p w14:paraId="046A9CD8" w14:textId="77777777" w:rsidR="00B25295" w:rsidRPr="00B25295" w:rsidRDefault="00B25295" w:rsidP="00B25295">
      <w:pPr>
        <w:ind w:left="284" w:hanging="284"/>
        <w:rPr>
          <w:rFonts w:ascii="Verdana" w:hAnsi="Verdana"/>
          <w:color w:val="000000"/>
          <w:sz w:val="22"/>
          <w:szCs w:val="22"/>
        </w:rPr>
      </w:pPr>
      <w:r w:rsidRPr="00B25295">
        <w:rPr>
          <w:rFonts w:ascii="Verdana" w:hAnsi="Verdana"/>
          <w:color w:val="000000"/>
          <w:sz w:val="22"/>
          <w:szCs w:val="22"/>
        </w:rPr>
        <w:t>•</w:t>
      </w:r>
      <w:r w:rsidRPr="00B25295">
        <w:rPr>
          <w:rFonts w:ascii="Verdana" w:hAnsi="Verdana"/>
          <w:color w:val="000000"/>
          <w:sz w:val="22"/>
          <w:szCs w:val="22"/>
        </w:rPr>
        <w:tab/>
        <w:t>Schmelzpunktapparate</w:t>
      </w:r>
    </w:p>
    <w:p w14:paraId="090FC7D7" w14:textId="77777777" w:rsidR="00B25295" w:rsidRPr="00C92E66" w:rsidRDefault="00B25295" w:rsidP="00B25295">
      <w:pPr>
        <w:spacing w:before="40"/>
        <w:ind w:left="284" w:hanging="284"/>
        <w:rPr>
          <w:rFonts w:ascii="Times New Roman" w:hAnsi="Times New Roman"/>
          <w:color w:val="000000"/>
        </w:rPr>
      </w:pPr>
    </w:p>
    <w:p w14:paraId="3D722D84" w14:textId="77777777" w:rsidR="0027182A" w:rsidRPr="0098392E" w:rsidRDefault="0027182A" w:rsidP="00B25295">
      <w:pPr>
        <w:pStyle w:val="Kopfzeile"/>
        <w:tabs>
          <w:tab w:val="clear" w:pos="4703"/>
          <w:tab w:val="clear" w:pos="9406"/>
        </w:tabs>
      </w:pPr>
    </w:p>
    <w:sectPr w:rsidR="0027182A" w:rsidRPr="0098392E">
      <w:headerReference w:type="default" r:id="rId6"/>
      <w:footerReference w:type="default" r:id="rId7"/>
      <w:pgSz w:w="12240" w:h="15840"/>
      <w:pgMar w:top="1418" w:right="1134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ACDAF" w14:textId="77777777" w:rsidR="009F0E74" w:rsidRDefault="009F0E74">
      <w:r>
        <w:separator/>
      </w:r>
    </w:p>
  </w:endnote>
  <w:endnote w:type="continuationSeparator" w:id="0">
    <w:p w14:paraId="69B97845" w14:textId="77777777" w:rsidR="009F0E74" w:rsidRDefault="009F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ڱ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﷽﷽﷽﷽﷽﷽﷽﷽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304FA" w14:textId="77777777" w:rsidR="0027182A" w:rsidRPr="0098392E" w:rsidRDefault="0027182A">
    <w:pPr>
      <w:pStyle w:val="Fuzeile"/>
      <w:tabs>
        <w:tab w:val="clear" w:pos="9406"/>
        <w:tab w:val="right" w:pos="9639"/>
      </w:tabs>
      <w:rPr>
        <w:rFonts w:ascii="Verdana" w:hAnsi="Verdana"/>
        <w:smallCaps/>
        <w:sz w:val="20"/>
      </w:rPr>
    </w:pPr>
    <w:r w:rsidRPr="0098392E">
      <w:rPr>
        <w:rFonts w:ascii="Verdana" w:hAnsi="Verdana"/>
        <w:smallCaps/>
        <w:sz w:val="20"/>
      </w:rPr>
      <w:t xml:space="preserve">Version </w:t>
    </w:r>
    <w:r w:rsidRPr="0098392E">
      <w:rPr>
        <w:rFonts w:ascii="Verdana" w:hAnsi="Verdana"/>
        <w:smallCaps/>
        <w:sz w:val="20"/>
      </w:rPr>
      <w:fldChar w:fldCharType="begin"/>
    </w:r>
    <w:r w:rsidRPr="0098392E">
      <w:rPr>
        <w:rFonts w:ascii="Verdana" w:hAnsi="Verdana"/>
        <w:smallCaps/>
        <w:sz w:val="20"/>
      </w:rPr>
      <w:instrText xml:space="preserve"> </w:instrText>
    </w:r>
    <w:r>
      <w:rPr>
        <w:rFonts w:ascii="Verdana" w:hAnsi="Verdana"/>
        <w:smallCaps/>
        <w:sz w:val="20"/>
      </w:rPr>
      <w:instrText>DATE</w:instrText>
    </w:r>
    <w:r w:rsidRPr="0098392E">
      <w:rPr>
        <w:rFonts w:ascii="Verdana" w:hAnsi="Verdana"/>
        <w:smallCaps/>
        <w:sz w:val="20"/>
      </w:rPr>
      <w:instrText xml:space="preserve"> \@ "</w:instrText>
    </w:r>
    <w:r>
      <w:rPr>
        <w:rFonts w:ascii="Verdana" w:hAnsi="Verdana"/>
        <w:smallCaps/>
        <w:sz w:val="20"/>
      </w:rPr>
      <w:instrText>d.M.yyyy</w:instrText>
    </w:r>
    <w:r w:rsidRPr="0098392E">
      <w:rPr>
        <w:rFonts w:ascii="Verdana" w:hAnsi="Verdana"/>
        <w:smallCaps/>
        <w:sz w:val="20"/>
      </w:rPr>
      <w:instrText xml:space="preserve">" </w:instrText>
    </w:r>
    <w:r w:rsidRPr="0098392E">
      <w:rPr>
        <w:rFonts w:ascii="Verdana" w:hAnsi="Verdana"/>
        <w:smallCaps/>
        <w:sz w:val="20"/>
      </w:rPr>
      <w:fldChar w:fldCharType="separate"/>
    </w:r>
    <w:r w:rsidR="00200066">
      <w:rPr>
        <w:rFonts w:ascii="Verdana" w:hAnsi="Verdana"/>
        <w:smallCaps/>
        <w:noProof/>
        <w:sz w:val="20"/>
      </w:rPr>
      <w:t>25.2.2021</w:t>
    </w:r>
    <w:r w:rsidRPr="0098392E">
      <w:rPr>
        <w:rFonts w:ascii="Verdana" w:hAnsi="Verdana"/>
        <w:smallCaps/>
        <w:sz w:val="20"/>
      </w:rPr>
      <w:fldChar w:fldCharType="end"/>
    </w:r>
    <w:r w:rsidRPr="0098392E">
      <w:rPr>
        <w:rFonts w:ascii="Verdana" w:hAnsi="Verdana"/>
        <w:smallCaps/>
        <w:sz w:val="20"/>
      </w:rPr>
      <w:tab/>
    </w:r>
    <w:r w:rsidRPr="0098392E">
      <w:rPr>
        <w:rStyle w:val="Seitenzahl"/>
        <w:rFonts w:ascii="Verdana" w:hAnsi="Verdana"/>
        <w:sz w:val="20"/>
      </w:rPr>
      <w:fldChar w:fldCharType="begin"/>
    </w:r>
    <w:r>
      <w:rPr>
        <w:rStyle w:val="Seitenzahl"/>
        <w:rFonts w:ascii="Verdana" w:hAnsi="Verdana"/>
        <w:sz w:val="20"/>
      </w:rPr>
      <w:instrText>PAGE</w:instrText>
    </w:r>
    <w:r w:rsidRPr="0098392E">
      <w:rPr>
        <w:rStyle w:val="Seitenzahl"/>
        <w:rFonts w:ascii="Verdana" w:hAnsi="Verdana"/>
        <w:sz w:val="20"/>
      </w:rPr>
      <w:instrText xml:space="preserve">  </w:instrText>
    </w:r>
    <w:r w:rsidRPr="0098392E">
      <w:rPr>
        <w:rStyle w:val="Seitenzahl"/>
        <w:rFonts w:ascii="Verdana" w:hAnsi="Verdana"/>
        <w:sz w:val="20"/>
      </w:rPr>
      <w:fldChar w:fldCharType="separate"/>
    </w:r>
    <w:r w:rsidR="005F4974">
      <w:rPr>
        <w:rStyle w:val="Seitenzahl"/>
        <w:rFonts w:ascii="Verdana" w:hAnsi="Verdana"/>
        <w:noProof/>
        <w:sz w:val="20"/>
      </w:rPr>
      <w:t>4</w:t>
    </w:r>
    <w:r w:rsidRPr="0098392E">
      <w:rPr>
        <w:rStyle w:val="Seitenzahl"/>
        <w:rFonts w:ascii="Verdana" w:hAnsi="Verdana"/>
        <w:sz w:val="20"/>
      </w:rPr>
      <w:fldChar w:fldCharType="end"/>
    </w:r>
    <w:r w:rsidRPr="0098392E">
      <w:rPr>
        <w:rFonts w:ascii="Verdana" w:hAnsi="Verdana"/>
        <w:smallCaps/>
        <w:sz w:val="20"/>
      </w:rPr>
      <w:tab/>
    </w:r>
    <w:r w:rsidR="00B25295">
      <w:rPr>
        <w:rFonts w:ascii="Verdana" w:hAnsi="Verdana"/>
        <w:smallCaps/>
        <w:sz w:val="20"/>
      </w:rPr>
      <w:t xml:space="preserve">Div. </w:t>
    </w:r>
    <w:r w:rsidRPr="0098392E">
      <w:rPr>
        <w:rFonts w:ascii="Verdana" w:hAnsi="Verdana"/>
        <w:smallCaps/>
        <w:sz w:val="20"/>
      </w:rPr>
      <w:t>Sulfonamide</w:t>
    </w:r>
    <w:r>
      <w:rPr>
        <w:rFonts w:ascii="Verdana" w:hAnsi="Verdana"/>
        <w:smallCaps/>
        <w:sz w:val="20"/>
      </w:rPr>
      <w:t>: Materialliste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2D73" w14:textId="77777777" w:rsidR="009F0E74" w:rsidRDefault="009F0E74">
      <w:r>
        <w:separator/>
      </w:r>
    </w:p>
  </w:footnote>
  <w:footnote w:type="continuationSeparator" w:id="0">
    <w:p w14:paraId="4062CF40" w14:textId="77777777" w:rsidR="009F0E74" w:rsidRDefault="009F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0B48" w14:textId="77777777" w:rsidR="0027182A" w:rsidRPr="00A17E83" w:rsidRDefault="0027182A">
    <w:pPr>
      <w:pStyle w:val="Kopfzeile"/>
      <w:pBdr>
        <w:bottom w:val="single" w:sz="4" w:space="1" w:color="auto"/>
      </w:pBdr>
      <w:tabs>
        <w:tab w:val="clear" w:pos="9406"/>
        <w:tab w:val="right" w:pos="9639"/>
      </w:tabs>
      <w:rPr>
        <w:rFonts w:ascii="Verdana" w:hAnsi="Verdana"/>
        <w:smallCaps/>
        <w:sz w:val="20"/>
      </w:rPr>
    </w:pPr>
    <w:r>
      <w:rPr>
        <w:rFonts w:ascii="Verdana" w:hAnsi="Verdana"/>
        <w:smallCaps/>
        <w:sz w:val="20"/>
      </w:rPr>
      <w:t>SPF Chemie</w:t>
    </w:r>
    <w:r w:rsidRPr="00563583">
      <w:rPr>
        <w:rFonts w:ascii="Verdana" w:hAnsi="Verdana"/>
        <w:smallCaps/>
        <w:sz w:val="20"/>
      </w:rPr>
      <w:tab/>
    </w:r>
    <w:r w:rsidRPr="00563583">
      <w:rPr>
        <w:rFonts w:ascii="Verdana" w:hAnsi="Verdana"/>
        <w:smallCaps/>
        <w:sz w:val="20"/>
      </w:rPr>
      <w:tab/>
      <w:t>Kantonsschule Baden</w:t>
    </w:r>
  </w:p>
  <w:p w14:paraId="2483A65F" w14:textId="77777777" w:rsidR="0027182A" w:rsidRDefault="0027182A">
    <w:pPr>
      <w:pStyle w:val="Kopfzeile"/>
      <w:rPr>
        <w:rFonts w:ascii="Palatino" w:hAnsi="Palatino"/>
      </w:rPr>
    </w:pPr>
  </w:p>
  <w:p w14:paraId="699247F3" w14:textId="77777777" w:rsidR="0027182A" w:rsidRDefault="0027182A">
    <w:pPr>
      <w:pStyle w:val="Kopfzeile"/>
      <w:rPr>
        <w:rFonts w:ascii="Palatino" w:hAnsi="Palati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4"/>
    <w:rsid w:val="00200066"/>
    <w:rsid w:val="0027182A"/>
    <w:rsid w:val="005F4974"/>
    <w:rsid w:val="009F0E74"/>
    <w:rsid w:val="00A3749F"/>
    <w:rsid w:val="00B2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B17A80"/>
  <w15:chartTrackingRefBased/>
  <w15:docId w15:val="{5B2D6536-9D79-934A-A12A-093C8C51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Palatino" w:hAnsi="Palatino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Palatino" w:hAnsi="Palatino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Titel">
    <w:name w:val="Title"/>
    <w:basedOn w:val="Standard"/>
    <w:qFormat/>
    <w:pPr>
      <w:jc w:val="center"/>
    </w:pPr>
    <w:rPr>
      <w:rFonts w:ascii="Palatino" w:hAnsi="Palatino"/>
      <w:b/>
      <w:sz w:val="3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73BB5"/>
    <w:rPr>
      <w:rFonts w:ascii="Tahoma" w:hAnsi="Tahoma" w:cs="Tahoma"/>
      <w:sz w:val="16"/>
      <w:szCs w:val="16"/>
    </w:rPr>
  </w:style>
  <w:style w:type="paragraph" w:customStyle="1" w:styleId="Spielregeln">
    <w:name w:val="Spielregeln"/>
    <w:basedOn w:val="Standard"/>
    <w:rsid w:val="00780C64"/>
    <w:pPr>
      <w:ind w:left="280" w:hanging="280"/>
    </w:pPr>
    <w:rPr>
      <w:rFonts w:ascii="Helvetica" w:eastAsia="Times New Roman" w:hAnsi="Helvetica"/>
    </w:rPr>
  </w:style>
  <w:style w:type="paragraph" w:customStyle="1" w:styleId="TitelII">
    <w:name w:val="Titel II"/>
    <w:rsid w:val="00B25295"/>
    <w:pPr>
      <w:overflowPunct w:val="0"/>
      <w:autoSpaceDE w:val="0"/>
      <w:autoSpaceDN w:val="0"/>
      <w:adjustRightInd w:val="0"/>
      <w:jc w:val="center"/>
      <w:textAlignment w:val="baseline"/>
    </w:pPr>
    <w:rPr>
      <w:rFonts w:ascii="Palatino" w:eastAsia="Times New Roman" w:hAnsi="Palatino"/>
      <w:b/>
      <w:sz w:val="24"/>
      <w:lang w:val="de-DE"/>
    </w:rPr>
  </w:style>
  <w:style w:type="paragraph" w:customStyle="1" w:styleId="Untertitel2">
    <w:name w:val="Untertitel 2"/>
    <w:basedOn w:val="Standard"/>
    <w:next w:val="Textkrper"/>
    <w:rsid w:val="00B25295"/>
    <w:pPr>
      <w:overflowPunct w:val="0"/>
      <w:autoSpaceDE w:val="0"/>
      <w:autoSpaceDN w:val="0"/>
      <w:adjustRightInd w:val="0"/>
      <w:spacing w:before="120" w:after="120"/>
      <w:ind w:left="425" w:hanging="425"/>
      <w:textAlignment w:val="baseline"/>
    </w:pPr>
    <w:rPr>
      <w:rFonts w:ascii="Palatino" w:eastAsia="Times New Roman" w:hAnsi="Palatino"/>
      <w:b/>
      <w:sz w:val="28"/>
      <w:lang w:val="de-CH"/>
    </w:rPr>
  </w:style>
  <w:style w:type="paragraph" w:styleId="Textkrper">
    <w:name w:val="Body Text"/>
    <w:basedOn w:val="Standard"/>
    <w:rsid w:val="00B2529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Herstellung von Sulfanilamid</vt:lpstr>
    </vt:vector>
  </TitlesOfParts>
  <Manager/>
  <Company>Kantonsschule Baden</Company>
  <LinksUpToDate>false</LinksUpToDate>
  <CharactersWithSpaces>3675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Herstellung von Sulfanilamid</dc:title>
  <dc:subject/>
  <dc:creator>Roger Deuber, Paul Kaeser, Juraj Lipscher</dc:creator>
  <cp:keywords/>
  <dc:description/>
  <cp:lastModifiedBy>Roger Deuber</cp:lastModifiedBy>
  <cp:revision>2</cp:revision>
  <cp:lastPrinted>2007-05-16T13:12:00Z</cp:lastPrinted>
  <dcterms:created xsi:type="dcterms:W3CDTF">2021-02-25T15:40:00Z</dcterms:created>
  <dcterms:modified xsi:type="dcterms:W3CDTF">2021-02-25T15:40:00Z</dcterms:modified>
  <cp:category/>
</cp:coreProperties>
</file>